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三明医学科技职业学院</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2020级电子竞技运动与管理专业人才培养方案</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（专业代码：670411 ）</w:t>
      </w:r>
    </w:p>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（招生对象：春夏季高考考生）</w:t>
      </w: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经济管理学院</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二〇二〇年七月</w:t>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编制说明</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本专业人才培养方案适于三年全日制高职专业，由经管学院管理教研室、厦门虎剑教育科技有限公司和福建省互联网上网服务行业协会等共同制订，于 2020 年 7 月 1 日，经电子竞技运动与管理专业专家委员会专家评审论证后提报给教务处。2020 年 7 月学院组织两委会进行了评审，提出了评审及修改意见， 根据专家评审意见进行了修改，形成此稿。 </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主要编制人：</w:t>
      </w:r>
    </w:p>
    <w:tbl>
      <w:tblPr>
        <w:tblStyle w:val="2"/>
        <w:tblW w:w="4998" w:type="pct"/>
        <w:tblInd w:w="0" w:type="dxa"/>
        <w:shd w:val="clear" w:color="auto" w:fill="auto"/>
        <w:tblLayout w:type="autofit"/>
        <w:tblCellMar>
          <w:top w:w="0" w:type="dxa"/>
          <w:left w:w="0" w:type="dxa"/>
          <w:bottom w:w="0" w:type="dxa"/>
          <w:right w:w="0" w:type="dxa"/>
        </w:tblCellMar>
      </w:tblPr>
      <w:tblGrid>
        <w:gridCol w:w="4473"/>
        <w:gridCol w:w="1387"/>
        <w:gridCol w:w="3118"/>
      </w:tblGrid>
      <w:tr>
        <w:tblPrEx>
          <w:shd w:val="clear" w:color="auto" w:fill="auto"/>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单位</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姓名</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职务/ 职称</w:t>
            </w:r>
          </w:p>
        </w:tc>
      </w:tr>
      <w:tr>
        <w:tblPrEx>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三明医学科技职业学院</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谢寿星</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经济管理学院院长</w:t>
            </w:r>
            <w:r>
              <w:rPr>
                <w:rStyle w:val="4"/>
                <w:rFonts w:hint="eastAsia" w:ascii="宋体" w:hAnsi="宋体" w:eastAsia="宋体" w:cs="宋体"/>
                <w:color w:val="auto"/>
                <w:sz w:val="21"/>
                <w:szCs w:val="21"/>
                <w:lang w:val="en-US" w:eastAsia="zh-CN" w:bidi="ar"/>
              </w:rPr>
              <w:t>/教授</w:t>
            </w:r>
          </w:p>
        </w:tc>
      </w:tr>
      <w:tr>
        <w:tblPrEx>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厦门虎剑教育科技有限公司</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陈红勇</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r>
      <w:tr>
        <w:tblPrEx>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上海竞象文化传播有限公司</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李哲俊</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r>
      <w:tr>
        <w:tblPrEx>
          <w:shd w:val="clear" w:color="auto" w:fill="auto"/>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福建省互联网上网服务行业协会</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张钦荣</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秘书长</w:t>
            </w:r>
          </w:p>
        </w:tc>
      </w:tr>
      <w:tr>
        <w:tblPrEx>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北京文华互联会展有限公司</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黄德福</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r>
      <w:tr>
        <w:tblPrEx>
          <w:tblCellMar>
            <w:top w:w="0" w:type="dxa"/>
            <w:left w:w="0" w:type="dxa"/>
            <w:bottom w:w="0" w:type="dxa"/>
            <w:right w:w="0" w:type="dxa"/>
          </w:tblCellMar>
        </w:tblPrEx>
        <w:trPr>
          <w:trHeight w:val="288" w:hRule="atLeast"/>
        </w:trPr>
        <w:tc>
          <w:tcPr>
            <w:tcW w:w="249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三明医学科技职业学院</w:t>
            </w:r>
          </w:p>
        </w:tc>
        <w:tc>
          <w:tcPr>
            <w:tcW w:w="7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薛俊林</w:t>
            </w:r>
          </w:p>
        </w:tc>
        <w:tc>
          <w:tcPr>
            <w:tcW w:w="173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系主任/专业带头人/副教授</w:t>
            </w:r>
          </w:p>
        </w:tc>
      </w:tr>
    </w:tbl>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1"/>
          <w:szCs w:val="21"/>
        </w:rPr>
      </w:pPr>
      <w:r>
        <w:rPr>
          <w:rFonts w:hint="eastAsia" w:ascii="宋体" w:hAnsi="宋体" w:eastAsia="宋体" w:cs="宋体"/>
          <w:color w:val="auto"/>
          <w:sz w:val="21"/>
          <w:szCs w:val="21"/>
        </w:rPr>
        <w:t>审核人：</w:t>
      </w:r>
    </w:p>
    <w:tbl>
      <w:tblPr>
        <w:tblStyle w:val="2"/>
        <w:tblW w:w="4999" w:type="pct"/>
        <w:tblInd w:w="0" w:type="dxa"/>
        <w:shd w:val="clear" w:color="auto" w:fill="auto"/>
        <w:tblLayout w:type="autofit"/>
        <w:tblCellMar>
          <w:top w:w="0" w:type="dxa"/>
          <w:left w:w="0" w:type="dxa"/>
          <w:bottom w:w="0" w:type="dxa"/>
          <w:right w:w="0" w:type="dxa"/>
        </w:tblCellMar>
      </w:tblPr>
      <w:tblGrid>
        <w:gridCol w:w="5534"/>
        <w:gridCol w:w="1723"/>
        <w:gridCol w:w="1723"/>
      </w:tblGrid>
      <w:tr>
        <w:tblPrEx>
          <w:tblCellMar>
            <w:top w:w="0" w:type="dxa"/>
            <w:left w:w="0" w:type="dxa"/>
            <w:bottom w:w="0" w:type="dxa"/>
            <w:right w:w="0" w:type="dxa"/>
          </w:tblCellMar>
        </w:tblPrEx>
        <w:trPr>
          <w:trHeight w:val="288" w:hRule="atLeast"/>
        </w:trPr>
        <w:tc>
          <w:tcPr>
            <w:tcW w:w="30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审核人</w:t>
            </w: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职务</w:t>
            </w: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姓名</w:t>
            </w:r>
          </w:p>
        </w:tc>
      </w:tr>
      <w:tr>
        <w:tblPrEx>
          <w:shd w:val="clear" w:color="auto" w:fill="auto"/>
          <w:tblCellMar>
            <w:top w:w="0" w:type="dxa"/>
            <w:left w:w="0" w:type="dxa"/>
            <w:bottom w:w="0" w:type="dxa"/>
            <w:right w:w="0" w:type="dxa"/>
          </w:tblCellMar>
        </w:tblPrEx>
        <w:trPr>
          <w:trHeight w:val="288" w:hRule="atLeast"/>
        </w:trPr>
        <w:tc>
          <w:tcPr>
            <w:tcW w:w="30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三明医学科技职业学院</w:t>
            </w: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firstLineChars="20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专业带头人</w:t>
            </w: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薛俊林</w:t>
            </w:r>
          </w:p>
        </w:tc>
      </w:tr>
      <w:tr>
        <w:tblPrEx>
          <w:tblCellMar>
            <w:top w:w="0" w:type="dxa"/>
            <w:left w:w="0" w:type="dxa"/>
            <w:bottom w:w="0" w:type="dxa"/>
            <w:right w:w="0" w:type="dxa"/>
          </w:tblCellMar>
        </w:tblPrEx>
        <w:trPr>
          <w:trHeight w:val="288" w:hRule="atLeast"/>
        </w:trPr>
        <w:tc>
          <w:tcPr>
            <w:tcW w:w="30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288" w:hRule="atLeast"/>
        </w:trPr>
        <w:tc>
          <w:tcPr>
            <w:tcW w:w="308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auto"/>
                <w:sz w:val="21"/>
                <w:szCs w:val="21"/>
                <w:u w:val="none"/>
              </w:rPr>
            </w:pPr>
          </w:p>
        </w:tc>
      </w:tr>
    </w:tbl>
    <w:p>
      <w:pPr>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电子竞技运动与管理专业建设委员会</w:t>
      </w:r>
    </w:p>
    <w:p>
      <w:pPr>
        <w:rPr>
          <w:rFonts w:hint="eastAsia" w:ascii="宋体" w:hAnsi="宋体" w:eastAsia="宋体" w:cs="宋体"/>
          <w:color w:val="auto"/>
          <w:sz w:val="28"/>
          <w:szCs w:val="28"/>
        </w:rPr>
      </w:pP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为适应高职教育人才培养的要求，促进电子竞技运动与管理专业建设与教学改革的不断深化，使专业人才培养规格更加符合和满足三明地区经济建设对人才结构、产业结构与经济结构的客观需求，根据学校工作部署，经研究决定，成立电子竞技运动与管理专业建设委员会。电子竞技运动与管理专业带头人担任专业建设委员会主任，聘请本地区电竞行业专家和龙头企业技术骨干为副主任和成员。电子竞技运动与管理专业建设委员会定期召开研讨会，对本专业规划、专业发展、专业建设等予以具体指导和工作协调。电子竞技运动与管理专业建设委员会成员名单，详见下表：</w:t>
      </w:r>
    </w:p>
    <w:p>
      <w:pPr>
        <w:ind w:firstLine="560" w:firstLineChars="200"/>
        <w:rPr>
          <w:rFonts w:hint="eastAsia" w:ascii="宋体" w:hAnsi="宋体" w:eastAsia="宋体" w:cs="宋体"/>
          <w:color w:val="auto"/>
          <w:sz w:val="28"/>
          <w:szCs w:val="28"/>
        </w:rPr>
      </w:pPr>
    </w:p>
    <w:tbl>
      <w:tblPr>
        <w:tblStyle w:val="2"/>
        <w:tblW w:w="4999" w:type="pct"/>
        <w:tblInd w:w="0" w:type="dxa"/>
        <w:shd w:val="clear" w:color="auto" w:fill="auto"/>
        <w:tblLayout w:type="autofit"/>
        <w:tblCellMar>
          <w:top w:w="0" w:type="dxa"/>
          <w:left w:w="0" w:type="dxa"/>
          <w:bottom w:w="0" w:type="dxa"/>
          <w:right w:w="0" w:type="dxa"/>
        </w:tblCellMar>
      </w:tblPr>
      <w:tblGrid>
        <w:gridCol w:w="1015"/>
        <w:gridCol w:w="1016"/>
        <w:gridCol w:w="1016"/>
        <w:gridCol w:w="2973"/>
        <w:gridCol w:w="1479"/>
        <w:gridCol w:w="1481"/>
      </w:tblGrid>
      <w:tr>
        <w:tblPrEx>
          <w:tblCellMar>
            <w:top w:w="0" w:type="dxa"/>
            <w:left w:w="0" w:type="dxa"/>
            <w:bottom w:w="0" w:type="dxa"/>
            <w:right w:w="0" w:type="dxa"/>
          </w:tblCellMar>
        </w:tblPrEx>
        <w:trPr>
          <w:trHeight w:val="432"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姓名</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性别</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单位</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职务/职称</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kern w:val="0"/>
                <w:sz w:val="21"/>
                <w:szCs w:val="21"/>
                <w:u w:val="none"/>
                <w:lang w:val="en-US" w:eastAsia="zh-CN" w:bidi="ar"/>
              </w:rPr>
            </w:pPr>
            <w:r>
              <w:rPr>
                <w:rFonts w:hint="eastAsia" w:ascii="黑体" w:hAnsi="黑体" w:eastAsia="黑体" w:cs="黑体"/>
                <w:b w:val="0"/>
                <w:bCs/>
                <w:i w:val="0"/>
                <w:color w:val="auto"/>
                <w:kern w:val="0"/>
                <w:sz w:val="21"/>
                <w:szCs w:val="21"/>
                <w:u w:val="none"/>
                <w:lang w:val="en-US" w:eastAsia="zh-CN" w:bidi="ar"/>
              </w:rPr>
              <w:t>专业建设</w:t>
            </w:r>
          </w:p>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委员会职务</w:t>
            </w:r>
          </w:p>
        </w:tc>
      </w:tr>
      <w:tr>
        <w:tblPrEx>
          <w:tblCellMar>
            <w:top w:w="0" w:type="dxa"/>
            <w:left w:w="0" w:type="dxa"/>
            <w:bottom w:w="0" w:type="dxa"/>
            <w:right w:w="0" w:type="dxa"/>
          </w:tblCellMar>
        </w:tblPrEx>
        <w:trPr>
          <w:trHeight w:val="432"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薛俊林</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男</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三明医学科技职业学院</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专业带头人</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副教授</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主任委员</w:t>
            </w:r>
          </w:p>
        </w:tc>
      </w:tr>
      <w:tr>
        <w:tblPrEx>
          <w:shd w:val="clear" w:color="auto" w:fill="auto"/>
          <w:tblCellMar>
            <w:top w:w="0" w:type="dxa"/>
            <w:left w:w="0" w:type="dxa"/>
            <w:bottom w:w="0" w:type="dxa"/>
            <w:right w:w="0" w:type="dxa"/>
          </w:tblCellMar>
        </w:tblPrEx>
        <w:trPr>
          <w:trHeight w:val="288"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夏芳</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女</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三明医学科技职业学院</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助教</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委员</w:t>
            </w:r>
          </w:p>
        </w:tc>
      </w:tr>
      <w:tr>
        <w:tblPrEx>
          <w:tblCellMar>
            <w:top w:w="0" w:type="dxa"/>
            <w:left w:w="0" w:type="dxa"/>
            <w:bottom w:w="0" w:type="dxa"/>
            <w:right w:w="0" w:type="dxa"/>
          </w:tblCellMar>
        </w:tblPrEx>
        <w:trPr>
          <w:trHeight w:val="288"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3</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张钦荣</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男</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福建省互联网上网服务行业协会</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秘书长</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委员</w:t>
            </w:r>
          </w:p>
        </w:tc>
      </w:tr>
      <w:tr>
        <w:tblPrEx>
          <w:shd w:val="clear" w:color="auto" w:fill="auto"/>
          <w:tblCellMar>
            <w:top w:w="0" w:type="dxa"/>
            <w:left w:w="0" w:type="dxa"/>
            <w:bottom w:w="0" w:type="dxa"/>
            <w:right w:w="0" w:type="dxa"/>
          </w:tblCellMar>
        </w:tblPrEx>
        <w:trPr>
          <w:trHeight w:val="288"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陈红勇</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男</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厦门虎剑教育科技有限公司</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委员</w:t>
            </w:r>
          </w:p>
        </w:tc>
      </w:tr>
      <w:tr>
        <w:tblPrEx>
          <w:tblCellMar>
            <w:top w:w="0" w:type="dxa"/>
            <w:left w:w="0" w:type="dxa"/>
            <w:bottom w:w="0" w:type="dxa"/>
            <w:right w:w="0" w:type="dxa"/>
          </w:tblCellMar>
        </w:tblPrEx>
        <w:trPr>
          <w:trHeight w:val="288"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李哲俊</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男</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上海竞象文化传播有限公司</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委员</w:t>
            </w:r>
          </w:p>
        </w:tc>
      </w:tr>
      <w:tr>
        <w:tblPrEx>
          <w:tblCellMar>
            <w:top w:w="0" w:type="dxa"/>
            <w:left w:w="0" w:type="dxa"/>
            <w:bottom w:w="0" w:type="dxa"/>
            <w:right w:w="0" w:type="dxa"/>
          </w:tblCellMar>
        </w:tblPrEx>
        <w:trPr>
          <w:trHeight w:val="288" w:hRule="atLeast"/>
        </w:trPr>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6</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黄德福</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男</w:t>
            </w:r>
          </w:p>
        </w:tc>
        <w:tc>
          <w:tcPr>
            <w:tcW w:w="165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北京文华互联会展有限公司</w:t>
            </w:r>
          </w:p>
        </w:tc>
        <w:tc>
          <w:tcPr>
            <w:tcW w:w="82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总经理</w:t>
            </w:r>
          </w:p>
        </w:tc>
        <w:tc>
          <w:tcPr>
            <w:tcW w:w="8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委员</w:t>
            </w:r>
          </w:p>
        </w:tc>
      </w:tr>
    </w:tbl>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r>
        <w:rPr>
          <w:rFonts w:hint="eastAsia" w:ascii="黑体" w:hAnsi="黑体" w:eastAsia="黑体" w:cs="黑体"/>
          <w:color w:val="auto"/>
          <w:sz w:val="36"/>
          <w:szCs w:val="36"/>
        </w:rPr>
        <w:t>2020级电子竞技运动与管理专业人才培养方案</w:t>
      </w:r>
    </w:p>
    <w:p>
      <w:pPr>
        <w:rPr>
          <w:rFonts w:hint="eastAsia" w:ascii="宋体" w:hAnsi="宋体" w:eastAsia="宋体" w:cs="宋体"/>
          <w:color w:val="auto"/>
          <w:sz w:val="28"/>
          <w:szCs w:val="28"/>
        </w:rPr>
      </w:pPr>
      <w:r>
        <w:rPr>
          <w:rFonts w:hint="eastAsia" w:ascii="黑体" w:hAnsi="黑体" w:eastAsia="黑体" w:cs="黑体"/>
          <w:color w:val="auto"/>
          <w:sz w:val="28"/>
          <w:szCs w:val="28"/>
        </w:rPr>
        <w:t>一、专业名称（专业代码）</w:t>
      </w:r>
      <w:r>
        <w:rPr>
          <w:rFonts w:hint="eastAsia" w:ascii="宋体" w:hAnsi="宋体" w:eastAsia="宋体" w:cs="宋体"/>
          <w:color w:val="auto"/>
          <w:sz w:val="28"/>
          <w:szCs w:val="28"/>
        </w:rPr>
        <w:t xml:space="preserve"> </w:t>
      </w:r>
    </w:p>
    <w:p>
      <w:pPr>
        <w:rPr>
          <w:rFonts w:hint="eastAsia" w:ascii="宋体" w:hAnsi="宋体" w:eastAsia="宋体" w:cs="宋体"/>
          <w:color w:val="auto"/>
          <w:sz w:val="28"/>
          <w:szCs w:val="28"/>
        </w:rPr>
      </w:pPr>
      <w:r>
        <w:rPr>
          <w:rFonts w:hint="eastAsia" w:ascii="宋体" w:hAnsi="宋体" w:eastAsia="宋体" w:cs="宋体"/>
          <w:color w:val="auto"/>
          <w:sz w:val="21"/>
          <w:szCs w:val="21"/>
        </w:rPr>
        <w:t>电子竞技运动与管理（670411）。</w:t>
      </w:r>
      <w:r>
        <w:rPr>
          <w:rFonts w:hint="eastAsia" w:ascii="宋体" w:hAnsi="宋体" w:eastAsia="宋体" w:cs="宋体"/>
          <w:color w:val="auto"/>
          <w:sz w:val="28"/>
          <w:szCs w:val="28"/>
        </w:rPr>
        <w:t xml:space="preserve"> </w:t>
      </w:r>
    </w:p>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二、入学要求 </w:t>
      </w:r>
    </w:p>
    <w:p>
      <w:pPr>
        <w:rPr>
          <w:rFonts w:hint="eastAsia" w:ascii="宋体" w:hAnsi="宋体" w:eastAsia="宋体" w:cs="宋体"/>
          <w:color w:val="auto"/>
          <w:sz w:val="28"/>
          <w:szCs w:val="28"/>
        </w:rPr>
      </w:pPr>
      <w:r>
        <w:rPr>
          <w:rFonts w:hint="eastAsia" w:ascii="宋体" w:hAnsi="宋体" w:eastAsia="宋体" w:cs="宋体"/>
          <w:color w:val="auto"/>
          <w:sz w:val="21"/>
          <w:szCs w:val="21"/>
        </w:rPr>
        <w:t>普高、中专、职高等毕业或具备同等学历。</w:t>
      </w:r>
      <w:r>
        <w:rPr>
          <w:rFonts w:hint="eastAsia" w:ascii="宋体" w:hAnsi="宋体" w:eastAsia="宋体" w:cs="宋体"/>
          <w:color w:val="auto"/>
          <w:sz w:val="28"/>
          <w:szCs w:val="28"/>
        </w:rPr>
        <w:t xml:space="preserve"> </w:t>
      </w:r>
    </w:p>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三、基本修业年限 </w:t>
      </w:r>
    </w:p>
    <w:p>
      <w:pPr>
        <w:rPr>
          <w:rFonts w:hint="eastAsia" w:ascii="宋体" w:hAnsi="宋体" w:eastAsia="宋体" w:cs="宋体"/>
          <w:color w:val="auto"/>
          <w:sz w:val="28"/>
          <w:szCs w:val="28"/>
        </w:rPr>
      </w:pPr>
      <w:r>
        <w:rPr>
          <w:rFonts w:hint="eastAsia" w:ascii="宋体" w:hAnsi="宋体" w:eastAsia="宋体" w:cs="宋体"/>
          <w:color w:val="auto"/>
          <w:sz w:val="21"/>
          <w:szCs w:val="21"/>
        </w:rPr>
        <w:t>三年。</w:t>
      </w:r>
      <w:r>
        <w:rPr>
          <w:rFonts w:hint="eastAsia" w:ascii="宋体" w:hAnsi="宋体" w:eastAsia="宋体" w:cs="宋体"/>
          <w:color w:val="auto"/>
          <w:sz w:val="28"/>
          <w:szCs w:val="28"/>
        </w:rPr>
        <w:t xml:space="preserve"> </w:t>
      </w:r>
    </w:p>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四、职业面向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（一）职业面向</w:t>
      </w:r>
    </w:p>
    <w:tbl>
      <w:tblPr>
        <w:tblStyle w:val="2"/>
        <w:tblW w:w="4997" w:type="pct"/>
        <w:tblInd w:w="0" w:type="dxa"/>
        <w:shd w:val="clear" w:color="auto" w:fill="auto"/>
        <w:tblLayout w:type="autofit"/>
        <w:tblCellMar>
          <w:top w:w="0" w:type="dxa"/>
          <w:left w:w="0" w:type="dxa"/>
          <w:bottom w:w="0" w:type="dxa"/>
          <w:right w:w="0" w:type="dxa"/>
        </w:tblCellMar>
      </w:tblPr>
      <w:tblGrid>
        <w:gridCol w:w="1311"/>
        <w:gridCol w:w="1451"/>
        <w:gridCol w:w="2917"/>
        <w:gridCol w:w="1654"/>
        <w:gridCol w:w="1644"/>
      </w:tblGrid>
      <w:tr>
        <w:tblPrEx>
          <w:shd w:val="clear" w:color="auto" w:fill="auto"/>
          <w:tblCellMar>
            <w:top w:w="0" w:type="dxa"/>
            <w:left w:w="0" w:type="dxa"/>
            <w:bottom w:w="0" w:type="dxa"/>
            <w:right w:w="0" w:type="dxa"/>
          </w:tblCellMar>
        </w:tblPrEx>
        <w:trPr>
          <w:trHeight w:val="288" w:hRule="atLeast"/>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所属专业大类</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（代码）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所属专业类</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（代码）</w:t>
            </w:r>
          </w:p>
        </w:tc>
        <w:tc>
          <w:tcPr>
            <w:tcW w:w="1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对应行业</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（代码）</w:t>
            </w:r>
          </w:p>
        </w:tc>
        <w:tc>
          <w:tcPr>
            <w:tcW w:w="92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主要职业类别</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（代码）</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主要岗位类别</w:t>
            </w:r>
            <w:r>
              <w:rPr>
                <w:rFonts w:hint="eastAsia" w:ascii="黑体" w:hAnsi="黑体" w:eastAsia="黑体" w:cs="黑体"/>
                <w:i w:val="0"/>
                <w:color w:val="auto"/>
                <w:kern w:val="0"/>
                <w:sz w:val="21"/>
                <w:szCs w:val="21"/>
                <w:u w:val="none"/>
                <w:lang w:val="en-US" w:eastAsia="zh-CN" w:bidi="ar"/>
              </w:rPr>
              <w:br w:type="textWrapping"/>
            </w:r>
            <w:r>
              <w:rPr>
                <w:rFonts w:hint="eastAsia" w:ascii="黑体" w:hAnsi="黑体" w:eastAsia="黑体" w:cs="黑体"/>
                <w:i w:val="0"/>
                <w:color w:val="auto"/>
                <w:kern w:val="0"/>
                <w:sz w:val="21"/>
                <w:szCs w:val="21"/>
                <w:u w:val="none"/>
                <w:lang w:val="en-US" w:eastAsia="zh-CN" w:bidi="ar"/>
              </w:rPr>
              <w:t>（或技术领域）</w:t>
            </w:r>
          </w:p>
        </w:tc>
      </w:tr>
      <w:tr>
        <w:tblPrEx>
          <w:shd w:val="clear" w:color="auto" w:fill="auto"/>
          <w:tblCellMar>
            <w:top w:w="0" w:type="dxa"/>
            <w:left w:w="0" w:type="dxa"/>
            <w:bottom w:w="0" w:type="dxa"/>
            <w:right w:w="0" w:type="dxa"/>
          </w:tblCellMar>
        </w:tblPrEx>
        <w:trPr>
          <w:trHeight w:val="288" w:hRule="atLeast"/>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1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894" w:hRule="atLeast"/>
        </w:trPr>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体育类（6704）</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电子竞技运动与管理（670411）</w:t>
            </w:r>
          </w:p>
        </w:tc>
        <w:tc>
          <w:tcPr>
            <w:tcW w:w="1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互联网游戏服务（6422）</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体育竞赛组织（8911）</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体育场馆管理（8921）</w:t>
            </w:r>
          </w:p>
        </w:tc>
        <w:tc>
          <w:tcPr>
            <w:tcW w:w="92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4-13-05-03</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电子竞技运营师</w:t>
            </w:r>
          </w:p>
        </w:tc>
        <w:tc>
          <w:tcPr>
            <w:tcW w:w="915"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电子竞技运营师</w:t>
            </w:r>
          </w:p>
        </w:tc>
      </w:tr>
      <w:tr>
        <w:tblPrEx>
          <w:shd w:val="clear" w:color="auto" w:fill="auto"/>
          <w:tblCellMar>
            <w:top w:w="0" w:type="dxa"/>
            <w:left w:w="0" w:type="dxa"/>
            <w:bottom w:w="0" w:type="dxa"/>
            <w:right w:w="0" w:type="dxa"/>
          </w:tblCellMar>
        </w:tblPrEx>
        <w:trPr>
          <w:trHeight w:val="288" w:hRule="atLeast"/>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1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r>
      <w:tr>
        <w:tblPrEx>
          <w:shd w:val="clear" w:color="auto" w:fill="auto"/>
          <w:tblCellMar>
            <w:top w:w="0" w:type="dxa"/>
            <w:left w:w="0" w:type="dxa"/>
            <w:bottom w:w="0" w:type="dxa"/>
            <w:right w:w="0" w:type="dxa"/>
          </w:tblCellMar>
        </w:tblPrEx>
        <w:trPr>
          <w:trHeight w:val="288" w:hRule="atLeast"/>
        </w:trPr>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1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9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r>
    </w:tbl>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（二）职业岗位分析 </w:t>
      </w:r>
    </w:p>
    <w:p>
      <w:pPr>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drawing>
          <wp:inline distT="0" distB="0" distL="114300" distR="114300">
            <wp:extent cx="5686425" cy="3306445"/>
            <wp:effectExtent l="0" t="0" r="13335" b="635"/>
            <wp:docPr id="3" name="图片 3" descr="7ffb0d5a2e9df802601099f7529d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ffb0d5a2e9df802601099f7529da66"/>
                    <pic:cNvPicPr>
                      <a:picLocks noChangeAspect="1"/>
                    </pic:cNvPicPr>
                  </pic:nvPicPr>
                  <pic:blipFill>
                    <a:blip r:embed="rId4"/>
                    <a:stretch>
                      <a:fillRect/>
                    </a:stretch>
                  </pic:blipFill>
                  <pic:spPr>
                    <a:xfrm>
                      <a:off x="0" y="0"/>
                      <a:ext cx="5686425" cy="3306445"/>
                    </a:xfrm>
                    <a:prstGeom prst="rect">
                      <a:avLst/>
                    </a:prstGeom>
                  </pic:spPr>
                </pic:pic>
              </a:graphicData>
            </a:graphic>
          </wp:inline>
        </w:drawing>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（三）职业资格证书要求（可选） </w:t>
      </w:r>
    </w:p>
    <w:tbl>
      <w:tblPr>
        <w:tblStyle w:val="2"/>
        <w:tblW w:w="89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02"/>
        <w:gridCol w:w="2700"/>
        <w:gridCol w:w="2441"/>
        <w:gridCol w:w="1119"/>
        <w:gridCol w:w="1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02" w:type="dxa"/>
            <w:tcBorders>
              <w:tl2br w:val="nil"/>
              <w:tr2bl w:val="nil"/>
            </w:tcBorders>
            <w:vAlign w:val="center"/>
          </w:tcPr>
          <w:p>
            <w:pPr>
              <w:pStyle w:val="5"/>
              <w:spacing w:line="240" w:lineRule="exact"/>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序号</w:t>
            </w:r>
          </w:p>
        </w:tc>
        <w:tc>
          <w:tcPr>
            <w:tcW w:w="2700" w:type="dxa"/>
            <w:tcBorders>
              <w:tl2br w:val="nil"/>
              <w:tr2bl w:val="nil"/>
            </w:tcBorders>
            <w:vAlign w:val="center"/>
          </w:tcPr>
          <w:p>
            <w:pPr>
              <w:pStyle w:val="5"/>
              <w:spacing w:line="240" w:lineRule="exact"/>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职业资格证书名称</w:t>
            </w:r>
          </w:p>
        </w:tc>
        <w:tc>
          <w:tcPr>
            <w:tcW w:w="2441" w:type="dxa"/>
            <w:tcBorders>
              <w:tl2br w:val="nil"/>
              <w:tr2bl w:val="nil"/>
            </w:tcBorders>
            <w:vAlign w:val="center"/>
          </w:tcPr>
          <w:p>
            <w:pPr>
              <w:pStyle w:val="5"/>
              <w:spacing w:line="240" w:lineRule="exact"/>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颁证单位</w:t>
            </w:r>
          </w:p>
        </w:tc>
        <w:tc>
          <w:tcPr>
            <w:tcW w:w="1119" w:type="dxa"/>
            <w:tcBorders>
              <w:tl2br w:val="nil"/>
              <w:tr2bl w:val="nil"/>
            </w:tcBorders>
            <w:vAlign w:val="center"/>
          </w:tcPr>
          <w:p>
            <w:pPr>
              <w:pStyle w:val="5"/>
              <w:spacing w:line="240" w:lineRule="exact"/>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等级</w:t>
            </w:r>
          </w:p>
        </w:tc>
        <w:tc>
          <w:tcPr>
            <w:tcW w:w="1879" w:type="dxa"/>
            <w:tcBorders>
              <w:tl2br w:val="nil"/>
              <w:tr2bl w:val="nil"/>
            </w:tcBorders>
            <w:vAlign w:val="center"/>
          </w:tcPr>
          <w:p>
            <w:pPr>
              <w:pStyle w:val="5"/>
              <w:spacing w:line="240" w:lineRule="exact"/>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02"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700" w:type="dxa"/>
            <w:tcBorders>
              <w:tl2br w:val="nil"/>
              <w:tr2bl w:val="nil"/>
            </w:tcBorders>
            <w:vAlign w:val="center"/>
          </w:tcPr>
          <w:p>
            <w:pPr>
              <w:tabs>
                <w:tab w:val="left" w:pos="7004"/>
              </w:tabs>
              <w:adjustRightInd w:val="0"/>
              <w:snapToGrid w:val="0"/>
              <w:spacing w:line="240" w:lineRule="exact"/>
              <w:ind w:firstLine="420" w:firstLineChars="20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新媒体运营师</w:t>
            </w:r>
          </w:p>
        </w:tc>
        <w:tc>
          <w:tcPr>
            <w:tcW w:w="2441"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工业和信息化</w:t>
            </w:r>
            <w:r>
              <w:rPr>
                <w:rFonts w:hint="eastAsia" w:asciiTheme="minorEastAsia" w:hAnsiTheme="minorEastAsia" w:eastAsiaTheme="minorEastAsia" w:cstheme="minorEastAsia"/>
                <w:color w:val="auto"/>
                <w:sz w:val="21"/>
                <w:szCs w:val="21"/>
                <w:highlight w:val="none"/>
              </w:rPr>
              <w:t>部</w:t>
            </w:r>
          </w:p>
        </w:tc>
        <w:tc>
          <w:tcPr>
            <w:tcW w:w="1119"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w:t>
            </w:r>
          </w:p>
        </w:tc>
        <w:tc>
          <w:tcPr>
            <w:tcW w:w="1879" w:type="dxa"/>
            <w:vMerge w:val="restart"/>
            <w:tcBorders>
              <w:tl2br w:val="nil"/>
              <w:tr2bl w:val="nil"/>
            </w:tcBorders>
            <w:vAlign w:val="center"/>
          </w:tcPr>
          <w:p>
            <w:pPr>
              <w:pStyle w:val="5"/>
              <w:spacing w:line="24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选考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02"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700" w:type="dxa"/>
            <w:tcBorders>
              <w:tl2br w:val="nil"/>
              <w:tr2bl w:val="nil"/>
            </w:tcBorders>
            <w:vAlign w:val="center"/>
          </w:tcPr>
          <w:p>
            <w:pPr>
              <w:tabs>
                <w:tab w:val="left" w:pos="7004"/>
              </w:tabs>
              <w:adjustRightInd w:val="0"/>
              <w:snapToGrid w:val="0"/>
              <w:spacing w:line="240" w:lineRule="exact"/>
              <w:ind w:firstLine="420" w:firstLineChars="20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互联网营销师</w:t>
            </w:r>
          </w:p>
        </w:tc>
        <w:tc>
          <w:tcPr>
            <w:tcW w:w="2441"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工业和信息化</w:t>
            </w:r>
            <w:r>
              <w:rPr>
                <w:rFonts w:hint="eastAsia" w:asciiTheme="minorEastAsia" w:hAnsiTheme="minorEastAsia" w:eastAsiaTheme="minorEastAsia" w:cstheme="minorEastAsia"/>
                <w:color w:val="auto"/>
                <w:sz w:val="21"/>
                <w:szCs w:val="21"/>
                <w:highlight w:val="none"/>
              </w:rPr>
              <w:t>部</w:t>
            </w:r>
          </w:p>
        </w:tc>
        <w:tc>
          <w:tcPr>
            <w:tcW w:w="1119" w:type="dxa"/>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w:t>
            </w:r>
          </w:p>
        </w:tc>
        <w:tc>
          <w:tcPr>
            <w:tcW w:w="1879" w:type="dxa"/>
            <w:vMerge w:val="continue"/>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02"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2700" w:type="dxa"/>
            <w:tcBorders>
              <w:tl2br w:val="nil"/>
              <w:tr2bl w:val="nil"/>
            </w:tcBorders>
            <w:vAlign w:val="center"/>
          </w:tcPr>
          <w:p>
            <w:pPr>
              <w:tabs>
                <w:tab w:val="left" w:pos="7004"/>
              </w:tabs>
              <w:adjustRightInd w:val="0"/>
              <w:snapToGrid w:val="0"/>
              <w:spacing w:line="240" w:lineRule="exact"/>
              <w:ind w:firstLine="420" w:firstLineChars="20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网络视听主播师</w:t>
            </w:r>
          </w:p>
        </w:tc>
        <w:tc>
          <w:tcPr>
            <w:tcW w:w="2441"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工业和信息化</w:t>
            </w:r>
            <w:r>
              <w:rPr>
                <w:rFonts w:hint="eastAsia" w:asciiTheme="minorEastAsia" w:hAnsiTheme="minorEastAsia" w:eastAsiaTheme="minorEastAsia" w:cstheme="minorEastAsia"/>
                <w:color w:val="auto"/>
                <w:sz w:val="21"/>
                <w:szCs w:val="21"/>
                <w:highlight w:val="none"/>
              </w:rPr>
              <w:t>部</w:t>
            </w:r>
          </w:p>
        </w:tc>
        <w:tc>
          <w:tcPr>
            <w:tcW w:w="1119"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w:t>
            </w:r>
          </w:p>
        </w:tc>
        <w:tc>
          <w:tcPr>
            <w:tcW w:w="1879" w:type="dxa"/>
            <w:vMerge w:val="continue"/>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802"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700" w:type="dxa"/>
            <w:tcBorders>
              <w:tl2br w:val="nil"/>
              <w:tr2bl w:val="nil"/>
            </w:tcBorders>
            <w:vAlign w:val="center"/>
          </w:tcPr>
          <w:p>
            <w:pPr>
              <w:tabs>
                <w:tab w:val="left" w:pos="7004"/>
              </w:tabs>
              <w:adjustRightInd w:val="0"/>
              <w:snapToGrid w:val="0"/>
              <w:spacing w:line="240" w:lineRule="exact"/>
              <w:ind w:firstLine="420" w:firstLineChars="200"/>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网络主播经纪人</w:t>
            </w:r>
          </w:p>
        </w:tc>
        <w:tc>
          <w:tcPr>
            <w:tcW w:w="2441"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工业和信息化</w:t>
            </w:r>
            <w:r>
              <w:rPr>
                <w:rFonts w:hint="eastAsia" w:asciiTheme="minorEastAsia" w:hAnsiTheme="minorEastAsia" w:eastAsiaTheme="minorEastAsia" w:cstheme="minorEastAsia"/>
                <w:color w:val="auto"/>
                <w:sz w:val="21"/>
                <w:szCs w:val="21"/>
                <w:highlight w:val="none"/>
              </w:rPr>
              <w:t>部</w:t>
            </w:r>
          </w:p>
        </w:tc>
        <w:tc>
          <w:tcPr>
            <w:tcW w:w="1119" w:type="dxa"/>
            <w:tcBorders>
              <w:tl2br w:val="nil"/>
              <w:tr2bl w:val="nil"/>
            </w:tcBorders>
            <w:vAlign w:val="center"/>
          </w:tcPr>
          <w:p>
            <w:pPr>
              <w:pStyle w:val="5"/>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w:t>
            </w:r>
          </w:p>
        </w:tc>
        <w:tc>
          <w:tcPr>
            <w:tcW w:w="1879" w:type="dxa"/>
            <w:vMerge w:val="continue"/>
            <w:tcBorders>
              <w:tl2br w:val="nil"/>
              <w:tr2bl w:val="nil"/>
            </w:tcBorders>
            <w:vAlign w:val="center"/>
          </w:tcPr>
          <w:p>
            <w:pPr>
              <w:pStyle w:val="5"/>
              <w:spacing w:line="240" w:lineRule="exact"/>
              <w:jc w:val="center"/>
              <w:rPr>
                <w:rFonts w:asciiTheme="minorEastAsia" w:hAnsiTheme="minorEastAsia" w:eastAsiaTheme="minorEastAsia" w:cstheme="minorEastAsia"/>
                <w:color w:val="auto"/>
                <w:sz w:val="18"/>
                <w:szCs w:val="18"/>
                <w:highlight w:val="none"/>
              </w:rPr>
            </w:pPr>
          </w:p>
        </w:tc>
      </w:tr>
    </w:tbl>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五、培养目标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培养面向全国，理想信念坚定，德、智、体、美、劳全面发展，具有一定的科学文化水平，良好的人文素养、职业道德和创新意识，精益求精的工匠精神，较强的就业能力和可持续发展的能力；掌握本专业知识和技术技能，面向电竞行业和体育赛事相关产业群，能够从事管理，运营，策划等工作的高素质技术技能人才。</w:t>
      </w:r>
    </w:p>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六、培养规格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竞技运动与管理专业实行“学做互动推进，技能递进提升”的专业人才培养模式，其中“学”代表专业知识学习，“做”代表专业技能实训，即结合电子竞技岗位的知识与技能需求设置专业课程体系，通过学做互动推进，使学生的电子竞技业务水平由浅入深、循序渐进，从基本技能实训到仿真综合实训，再到就业顶岗实习，完成“知岗——习岗——顶岗”三阶段，实现学生技能水平递进提升。</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基本素质要求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专业知识要求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了解电子竞技、计算机应用、管理学的基本知识；掌握电子竞技场馆标准和赛事规则的基本知识；掌握网络信息收集、媒体制作与发布的基本知识；掌握新媒体运营、连锁经营、市场营销的基本知识。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专业能力要求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拥有较强的电子竞技信息检索、搜集、制作与发布的能力；较强的赛事策划与执行的能力；较强的小型电子竞技赛事运营与推广能力；初步的电子竞技项目计划与管理能力；初步依据组织现状，制订电子竞技应用计划与实施，促进组织发展的能力。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职业态度要求</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不断学习新知识、新技术、新方法，有一定创新意识，有较强的沟通与合作能力。 立足本职岗位、明确工作目标、较强的执行能力，完成岗位职能。</w:t>
      </w:r>
    </w:p>
    <w:p>
      <w:pPr>
        <w:rPr>
          <w:rFonts w:hint="eastAsia" w:ascii="黑体" w:hAnsi="黑体" w:eastAsia="黑体" w:cs="黑体"/>
          <w:color w:val="auto"/>
          <w:sz w:val="28"/>
          <w:szCs w:val="28"/>
        </w:rPr>
      </w:pPr>
      <w:r>
        <w:rPr>
          <w:rFonts w:hint="eastAsia" w:ascii="黑体" w:hAnsi="黑体" w:eastAsia="黑体" w:cs="黑体"/>
          <w:color w:val="auto"/>
          <w:sz w:val="28"/>
          <w:szCs w:val="28"/>
        </w:rPr>
        <w:t xml:space="preserve">七、课程设置及学时安排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 xml:space="preserve">（一）课程设置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本专业课程主要包括公共基础课程和专业课程。 </w:t>
      </w:r>
    </w:p>
    <w:p>
      <w:pPr>
        <w:keepNext w:val="0"/>
        <w:keepLines w:val="0"/>
        <w:widowControl/>
        <w:suppressLineNumbers w:val="0"/>
        <w:jc w:val="left"/>
        <w:rPr>
          <w:color w:val="auto"/>
        </w:rPr>
      </w:pPr>
      <w:r>
        <w:rPr>
          <w:rFonts w:ascii="Calibri" w:hAnsi="Calibri" w:eastAsia="宋体" w:cs="Calibri"/>
          <w:b/>
          <w:color w:val="auto"/>
          <w:kern w:val="0"/>
          <w:sz w:val="21"/>
          <w:szCs w:val="21"/>
          <w:lang w:val="en-US" w:eastAsia="zh-CN" w:bidi="ar"/>
        </w:rPr>
        <w:t>1</w:t>
      </w:r>
      <w:r>
        <w:rPr>
          <w:rFonts w:hint="eastAsia" w:ascii="宋体" w:hAnsi="宋体" w:eastAsia="宋体" w:cs="宋体"/>
          <w:b/>
          <w:color w:val="auto"/>
          <w:kern w:val="0"/>
          <w:sz w:val="21"/>
          <w:szCs w:val="21"/>
          <w:lang w:val="en-US" w:eastAsia="zh-CN" w:bidi="ar"/>
        </w:rPr>
        <w:t xml:space="preserve">、公共基础课程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）思想道德修养与法律基础（</w:t>
      </w:r>
      <w:r>
        <w:rPr>
          <w:rFonts w:hint="default" w:ascii="Calibri" w:hAnsi="Calibri" w:eastAsia="宋体" w:cs="Calibri"/>
          <w:color w:val="auto"/>
          <w:kern w:val="0"/>
          <w:sz w:val="21"/>
          <w:szCs w:val="21"/>
          <w:lang w:val="en-US" w:eastAsia="zh-CN" w:bidi="ar"/>
        </w:rPr>
        <w:t xml:space="preserve">54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/3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旨在运用辩证唯物主义和历史唯物主义世界观和方法论，引导大学生树立正确的世界观、人生观、价值观、道德观和法治观，解决成长成才过程中遇到的实际问题，更好适应大学生活，促进德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智体美劳全面发展。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）毛泽东思想与中国特色社会主义理论体系概论（</w:t>
      </w:r>
      <w:r>
        <w:rPr>
          <w:rFonts w:hint="eastAsia" w:ascii="Calibri" w:hAnsi="Calibri" w:eastAsia="宋体" w:cs="Calibri"/>
          <w:color w:val="auto"/>
          <w:kern w:val="0"/>
          <w:sz w:val="21"/>
          <w:szCs w:val="21"/>
          <w:lang w:val="en-US" w:eastAsia="zh-CN" w:bidi="ar"/>
        </w:rPr>
        <w:t>64</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/4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旨在从整体上阐释马克思主义中国化理论成果，既体现马克思主义中国化理论成果形成和发展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的历史逻辑，又体现这些理论成果的理论逻辑</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既体现马克思主义中国化理论成果的整体性，又体现 各个理论成果的重点和难点，力求全面准确地理解毛泽东思想和 中国特色社会主义理论体系，尤其 是马克思主义中国化的最新成果</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习近平新 时代中国特色社会主义思想，引导学生增强中国特色 社会主义道路自信、理论自信、制度自信、文化自信，努力培养德智体美劳全面发展的社会主义建 设者和接班人。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）大学英语（</w:t>
      </w:r>
      <w:r>
        <w:rPr>
          <w:rFonts w:hint="default" w:ascii="Calibri" w:hAnsi="Calibri" w:eastAsia="宋体" w:cs="Calibri"/>
          <w:color w:val="auto"/>
          <w:kern w:val="0"/>
          <w:sz w:val="21"/>
          <w:szCs w:val="21"/>
          <w:lang w:val="en-US" w:eastAsia="zh-CN" w:bidi="ar"/>
        </w:rPr>
        <w:t>6</w:t>
      </w:r>
      <w:r>
        <w:rPr>
          <w:rFonts w:hint="eastAsia" w:ascii="Calibri" w:hAnsi="Calibri" w:eastAsia="宋体" w:cs="Calibri"/>
          <w:color w:val="auto"/>
          <w:kern w:val="0"/>
          <w:sz w:val="21"/>
          <w:szCs w:val="21"/>
          <w:lang w:val="en-US" w:eastAsia="zh-CN" w:bidi="ar"/>
        </w:rPr>
        <w:t>2</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/4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英语教学主要培养学生具有较强的阅读本专业英语书刊的能力，并能在实践中以英语为工具，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获取本专业所需要的信息，为进一步提高英语水平打下较为坚实的基础。通过学习，使学生能够在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日常交往中熟练地用英语进行简单会话，教学中注重学生听、说能力的培养。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）经济数学（</w:t>
      </w:r>
      <w:r>
        <w:rPr>
          <w:rFonts w:hint="default" w:ascii="Calibri" w:hAnsi="Calibri" w:eastAsia="宋体" w:cs="Calibri"/>
          <w:color w:val="auto"/>
          <w:kern w:val="0"/>
          <w:sz w:val="21"/>
          <w:szCs w:val="21"/>
          <w:lang w:val="en-US" w:eastAsia="zh-CN" w:bidi="ar"/>
        </w:rPr>
        <w:t xml:space="preserve">60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/4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通过经济数学的学习，使学生掌握微积分的基本概念与原理，能够运用微积分知识解决经济问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题中数量分析，建立相应的数学模型；掌握线性代数的基本概念与相关定理，能够用矩阵与线性方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程组的有关知识分析、处理生产实际中的相关数据；掌握概率论与统计学的基本知识，能够对现实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生活中的随机现象作出基本正确的判断与估计。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）计算机应用基础（</w:t>
      </w:r>
      <w:r>
        <w:rPr>
          <w:rFonts w:hint="default" w:ascii="Calibri" w:hAnsi="Calibri" w:eastAsia="宋体" w:cs="Calibri"/>
          <w:color w:val="auto"/>
          <w:kern w:val="0"/>
          <w:sz w:val="21"/>
          <w:szCs w:val="21"/>
          <w:lang w:val="en-US" w:eastAsia="zh-CN" w:bidi="ar"/>
        </w:rPr>
        <w:t xml:space="preserve">60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/4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使学生了解计算机的基础知识，能够熟练地进行 </w:t>
      </w:r>
      <w:r>
        <w:rPr>
          <w:rFonts w:hint="default" w:ascii="Calibri" w:hAnsi="Calibri" w:eastAsia="宋体" w:cs="Calibri"/>
          <w:color w:val="auto"/>
          <w:kern w:val="0"/>
          <w:sz w:val="21"/>
          <w:szCs w:val="21"/>
          <w:lang w:val="en-US" w:eastAsia="zh-CN" w:bidi="ar"/>
        </w:rPr>
        <w:t xml:space="preserve">Windows </w:t>
      </w:r>
      <w:r>
        <w:rPr>
          <w:rFonts w:hint="eastAsia" w:ascii="宋体" w:hAnsi="宋体" w:eastAsia="宋体" w:cs="宋体"/>
          <w:color w:val="auto"/>
          <w:kern w:val="0"/>
          <w:sz w:val="21"/>
          <w:szCs w:val="21"/>
          <w:lang w:val="en-US" w:eastAsia="zh-CN" w:bidi="ar"/>
        </w:rPr>
        <w:t xml:space="preserve">系统的操作，以及利用 </w:t>
      </w:r>
      <w:r>
        <w:rPr>
          <w:rFonts w:hint="default" w:ascii="Calibri" w:hAnsi="Calibri" w:eastAsia="宋体" w:cs="Calibri"/>
          <w:color w:val="auto"/>
          <w:kern w:val="0"/>
          <w:sz w:val="21"/>
          <w:szCs w:val="21"/>
          <w:lang w:val="en-US" w:eastAsia="zh-CN" w:bidi="ar"/>
        </w:rPr>
        <w:t>Word</w:t>
      </w: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 xml:space="preserve">Excel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等常用的办公自动化软件进行文档编辑，了解数据库的基本应用以及计算机网络等相关知识，为适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应现代化网络时代的社会打下基础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）体育（60</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/4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目的要求：通过体育训练，学习体育常识，增强学生体质，提高学生运动系统的灵活性、控制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力和形体表现力，从而培养学生良好的体态，优美的气质与风度。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）军事理论（</w:t>
      </w:r>
      <w:r>
        <w:rPr>
          <w:rFonts w:hint="default" w:ascii="Calibri" w:hAnsi="Calibri" w:eastAsia="宋体" w:cs="Calibri"/>
          <w:color w:val="auto"/>
          <w:kern w:val="0"/>
          <w:sz w:val="21"/>
          <w:szCs w:val="21"/>
          <w:lang w:val="en-US" w:eastAsia="zh-CN" w:bidi="ar"/>
        </w:rPr>
        <w:t>3</w:t>
      </w:r>
      <w:r>
        <w:rPr>
          <w:rFonts w:hint="eastAsia" w:ascii="Calibri" w:hAnsi="Calibri" w:eastAsia="宋体" w:cs="Calibri"/>
          <w:color w:val="auto"/>
          <w:kern w:val="0"/>
          <w:sz w:val="21"/>
          <w:szCs w:val="21"/>
          <w:lang w:val="en-US" w:eastAsia="zh-CN" w:bidi="ar"/>
        </w:rPr>
        <w:t>2</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普通高等学校通过军事课教学，让学生了解掌握军事基础知识和基本军事技能，增强国防观念、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国家安全意识和忧患危机意识，弘扬爱国主义精神、传承红色基因、提高学生综合国防素质。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）形势与政策（</w:t>
      </w:r>
      <w:r>
        <w:rPr>
          <w:rFonts w:hint="default" w:ascii="Calibri" w:hAnsi="Calibri" w:eastAsia="宋体" w:cs="Calibri"/>
          <w:color w:val="auto"/>
          <w:kern w:val="0"/>
          <w:sz w:val="21"/>
          <w:szCs w:val="21"/>
          <w:lang w:val="en-US" w:eastAsia="zh-CN" w:bidi="ar"/>
        </w:rPr>
        <w:t xml:space="preserve">24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w:t>
      </w:r>
      <w:r>
        <w:rPr>
          <w:rFonts w:hint="eastAsia" w:ascii="Calibri" w:hAnsi="Calibri" w:eastAsia="宋体" w:cs="Calibri"/>
          <w:color w:val="auto"/>
          <w:kern w:val="0"/>
          <w:sz w:val="21"/>
          <w:szCs w:val="21"/>
          <w:lang w:val="en-US" w:eastAsia="zh-CN" w:bidi="ar"/>
        </w:rPr>
        <w:t>1.5</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通过教学，使学生较为全面系统地掌握有关形势与政策的基本概念和正确分析形势的方法，理解政策的途径及我国的基本国情、党和政府的基本治国方略，形成正确的政治观，学会用马克思主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义的立场、观点和方法观察分析形势，理解和执行政策。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）创新创业教育基础（</w:t>
      </w:r>
      <w:r>
        <w:rPr>
          <w:rFonts w:hint="eastAsia" w:ascii="Calibri" w:hAnsi="Calibri" w:eastAsia="宋体" w:cs="Calibri"/>
          <w:color w:val="auto"/>
          <w:kern w:val="0"/>
          <w:sz w:val="21"/>
          <w:szCs w:val="21"/>
          <w:lang w:val="en-US" w:eastAsia="zh-CN" w:bidi="ar"/>
        </w:rPr>
        <w:t>32</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课程结合当前大学生的就业形势，针对高职大学生的特点，理论联系实际，内容具有针对性、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实用性、时代性和指导性。既有理论方面的深入阐述，又有切合高职大学生职业发展实际的能力训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练、操作方法。《职业生涯规划与指导》不仅有利于引导高职大学生正确对待就业难题，从容应对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就业竞争，而且还可以帮助他们树立职业目标，合理规划自己的学业，为将来个人职场成功奠定基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础。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10</w:t>
      </w:r>
      <w:r>
        <w:rPr>
          <w:rFonts w:hint="eastAsia" w:ascii="宋体" w:hAnsi="宋体" w:eastAsia="宋体" w:cs="宋体"/>
          <w:color w:val="auto"/>
          <w:kern w:val="0"/>
          <w:sz w:val="21"/>
          <w:szCs w:val="21"/>
          <w:lang w:val="en-US" w:eastAsia="zh-CN" w:bidi="ar"/>
        </w:rPr>
        <w:t>）大学生健康教育（32</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w:t>
      </w:r>
      <w:r>
        <w:rPr>
          <w:rFonts w:hint="eastAsia" w:ascii="Calibri" w:hAnsi="Calibri" w:eastAsia="宋体" w:cs="Calibri"/>
          <w:color w:val="auto"/>
          <w:kern w:val="0"/>
          <w:sz w:val="21"/>
          <w:szCs w:val="21"/>
          <w:lang w:val="en-US" w:eastAsia="zh-CN" w:bidi="ar"/>
        </w:rPr>
        <w:t>2</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提高全体学生的健康素质，优化每一个学生的人格，帮助学生解决成长发展中的各种困惑及问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题，增强其适应现代社会生活的能力，开发个体心理潜能，使全体学生都能得到全面而健康的发展。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11</w:t>
      </w:r>
      <w:r>
        <w:rPr>
          <w:rFonts w:hint="eastAsia" w:ascii="宋体" w:hAnsi="宋体" w:eastAsia="宋体" w:cs="宋体"/>
          <w:color w:val="auto"/>
          <w:kern w:val="0"/>
          <w:sz w:val="21"/>
          <w:szCs w:val="21"/>
          <w:lang w:val="en-US" w:eastAsia="zh-CN" w:bidi="ar"/>
        </w:rPr>
        <w:t>）劳动教育（</w:t>
      </w:r>
      <w:r>
        <w:rPr>
          <w:rFonts w:hint="default" w:ascii="Calibri" w:hAnsi="Calibri" w:eastAsia="宋体" w:cs="Calibri"/>
          <w:color w:val="auto"/>
          <w:kern w:val="0"/>
          <w:sz w:val="21"/>
          <w:szCs w:val="21"/>
          <w:lang w:val="en-US" w:eastAsia="zh-CN" w:bidi="ar"/>
        </w:rPr>
        <w:t xml:space="preserve">32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培养具有劳动精神、劳模精神、工匠精神、</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明劳动之理</w:t>
      </w:r>
      <w:r>
        <w:rPr>
          <w:rFonts w:hint="default" w:ascii="Calibri" w:hAnsi="Calibri" w:eastAsia="宋体" w:cs="Calibri"/>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 xml:space="preserve">的新时代大学生。强化劳动教育，明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确劳动教育时间，弘扬劳动精神、劳模精神，教育引导学生崇尚劳动、尊重劳动增强其适应现代社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会生活的能力，开发个体心理潜能，使全体学生都能得到全面而健康的发展。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w:t>
      </w:r>
      <w:r>
        <w:rPr>
          <w:rFonts w:hint="default" w:ascii="Calibri" w:hAnsi="Calibri" w:eastAsia="宋体" w:cs="Calibri"/>
          <w:color w:val="auto"/>
          <w:kern w:val="0"/>
          <w:sz w:val="21"/>
          <w:szCs w:val="21"/>
          <w:lang w:val="en-US" w:eastAsia="zh-CN" w:bidi="ar"/>
        </w:rPr>
        <w:t>12</w:t>
      </w:r>
      <w:r>
        <w:rPr>
          <w:rFonts w:hint="eastAsia" w:ascii="宋体" w:hAnsi="宋体" w:eastAsia="宋体" w:cs="宋体"/>
          <w:color w:val="auto"/>
          <w:kern w:val="0"/>
          <w:sz w:val="21"/>
          <w:szCs w:val="21"/>
          <w:lang w:val="en-US" w:eastAsia="zh-CN" w:bidi="ar"/>
        </w:rPr>
        <w:t>）公共选修课（64学时/4</w:t>
      </w:r>
      <w:r>
        <w:rPr>
          <w:rFonts w:hint="default" w:ascii="Calibri" w:hAnsi="Calibri" w:eastAsia="宋体" w:cs="Calibri"/>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依托超星尔雅及课程超市的课程，如 </w:t>
      </w:r>
      <w:r>
        <w:rPr>
          <w:rFonts w:hint="default" w:ascii="Calibri" w:hAnsi="Calibri" w:eastAsia="宋体" w:cs="Calibri"/>
          <w:color w:val="auto"/>
          <w:kern w:val="0"/>
          <w:sz w:val="21"/>
          <w:szCs w:val="21"/>
          <w:lang w:val="en-US" w:eastAsia="zh-CN" w:bidi="ar"/>
        </w:rPr>
        <w:t xml:space="preserve">CPR </w:t>
      </w:r>
      <w:r>
        <w:rPr>
          <w:rFonts w:hint="eastAsia" w:ascii="宋体" w:hAnsi="宋体" w:eastAsia="宋体" w:cs="宋体"/>
          <w:color w:val="auto"/>
          <w:kern w:val="0"/>
          <w:sz w:val="21"/>
          <w:szCs w:val="21"/>
          <w:lang w:val="en-US" w:eastAsia="zh-CN" w:bidi="ar"/>
        </w:rPr>
        <w:t xml:space="preserve">心肺复苏、党史国史、中华优秀传统文化、健康教育、 美育课程、职业素养等课程利用课余时间自选 </w:t>
      </w:r>
      <w:r>
        <w:rPr>
          <w:rFonts w:hint="default" w:ascii="Calibri" w:hAnsi="Calibri" w:eastAsia="宋体" w:cs="Calibri"/>
          <w:color w:val="auto"/>
          <w:kern w:val="0"/>
          <w:sz w:val="21"/>
          <w:szCs w:val="21"/>
          <w:lang w:val="en-US" w:eastAsia="zh-CN" w:bidi="ar"/>
        </w:rPr>
        <w:t xml:space="preserve">5 </w:t>
      </w:r>
      <w:r>
        <w:rPr>
          <w:rFonts w:hint="eastAsia" w:ascii="宋体" w:hAnsi="宋体" w:eastAsia="宋体" w:cs="宋体"/>
          <w:color w:val="auto"/>
          <w:kern w:val="0"/>
          <w:sz w:val="21"/>
          <w:szCs w:val="21"/>
          <w:lang w:val="en-US" w:eastAsia="zh-CN" w:bidi="ar"/>
        </w:rPr>
        <w:t xml:space="preserve">个学分的选修课程，其中 </w:t>
      </w:r>
      <w:r>
        <w:rPr>
          <w:rFonts w:hint="default" w:ascii="Calibri" w:hAnsi="Calibri" w:eastAsia="宋体" w:cs="Calibri"/>
          <w:color w:val="auto"/>
          <w:kern w:val="0"/>
          <w:sz w:val="21"/>
          <w:szCs w:val="21"/>
          <w:lang w:val="en-US" w:eastAsia="zh-CN" w:bidi="ar"/>
        </w:rPr>
        <w:t xml:space="preserve">CPR </w:t>
      </w:r>
      <w:r>
        <w:rPr>
          <w:rFonts w:hint="eastAsia" w:ascii="宋体" w:hAnsi="宋体" w:eastAsia="宋体" w:cs="宋体"/>
          <w:color w:val="auto"/>
          <w:kern w:val="0"/>
          <w:sz w:val="21"/>
          <w:szCs w:val="21"/>
          <w:lang w:val="en-US" w:eastAsia="zh-CN" w:bidi="ar"/>
        </w:rPr>
        <w:t>心肺复苏是必选项目。</w:t>
      </w:r>
    </w:p>
    <w:p>
      <w:pPr>
        <w:numPr>
          <w:ilvl w:val="0"/>
          <w:numId w:val="1"/>
        </w:num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专业课程体系</w:t>
      </w: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widowControl w:val="0"/>
        <w:numPr>
          <w:ilvl w:val="0"/>
          <w:numId w:val="0"/>
        </w:numPr>
        <w:jc w:val="both"/>
        <w:rPr>
          <w:rFonts w:hint="eastAsia" w:ascii="宋体" w:hAnsi="宋体" w:eastAsia="宋体" w:cs="宋体"/>
          <w:b/>
          <w:bCs/>
          <w:color w:val="auto"/>
          <w:sz w:val="21"/>
          <w:szCs w:val="21"/>
          <w:lang w:val="en-US" w:eastAsia="zh-CN"/>
        </w:rPr>
      </w:pPr>
    </w:p>
    <w:p>
      <w:pPr>
        <w:numPr>
          <w:ilvl w:val="0"/>
          <w:numId w:val="0"/>
        </w:numPr>
        <w:rPr>
          <w:rFonts w:hint="eastAsia" w:ascii="宋体" w:hAnsi="宋体" w:eastAsia="宋体" w:cs="宋体"/>
          <w:color w:val="auto"/>
          <w:sz w:val="21"/>
          <w:szCs w:val="21"/>
        </w:rPr>
      </w:pPr>
    </w:p>
    <w:tbl>
      <w:tblPr>
        <w:tblStyle w:val="2"/>
        <w:tblW w:w="8992" w:type="dxa"/>
        <w:tblInd w:w="0" w:type="dxa"/>
        <w:shd w:val="clear" w:color="auto" w:fill="auto"/>
        <w:tblLayout w:type="fixed"/>
        <w:tblCellMar>
          <w:top w:w="0" w:type="dxa"/>
          <w:left w:w="0" w:type="dxa"/>
          <w:bottom w:w="0" w:type="dxa"/>
          <w:right w:w="0" w:type="dxa"/>
        </w:tblCellMar>
      </w:tblPr>
      <w:tblGrid>
        <w:gridCol w:w="2760"/>
        <w:gridCol w:w="3048"/>
        <w:gridCol w:w="3184"/>
      </w:tblGrid>
      <w:tr>
        <w:tblPrEx>
          <w:tblCellMar>
            <w:top w:w="0" w:type="dxa"/>
            <w:left w:w="0" w:type="dxa"/>
            <w:bottom w:w="0" w:type="dxa"/>
            <w:right w:w="0" w:type="dxa"/>
          </w:tblCellMar>
        </w:tblPrEx>
        <w:trPr>
          <w:trHeight w:val="276"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专业基础课</w:t>
            </w:r>
          </w:p>
        </w:tc>
        <w:tc>
          <w:tcPr>
            <w:tcW w:w="30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专业核心课</w:t>
            </w:r>
          </w:p>
        </w:tc>
        <w:tc>
          <w:tcPr>
            <w:tcW w:w="31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专业拓展课</w:t>
            </w:r>
          </w:p>
        </w:tc>
      </w:tr>
      <w:tr>
        <w:tblPrEx>
          <w:shd w:val="clear" w:color="auto" w:fill="auto"/>
          <w:tblCellMar>
            <w:top w:w="0" w:type="dxa"/>
            <w:left w:w="0" w:type="dxa"/>
            <w:bottom w:w="0" w:type="dxa"/>
            <w:right w:w="0" w:type="dxa"/>
          </w:tblCellMar>
        </w:tblPrEx>
        <w:trPr>
          <w:trHeight w:val="2360"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电子竞技运动概论</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电子竞技生态与文化</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体育经济学</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消费行为学</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游戏数据分析</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摄影摄像基础</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网红经济</w:t>
            </w:r>
          </w:p>
        </w:tc>
        <w:tc>
          <w:tcPr>
            <w:tcW w:w="30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图形图像处理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视频剪辑与制作</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电子竞技场馆管理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电子竞技市场营销</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电子竞技赛事活动策划</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电子竞技赛事运营与管理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电子竞技解说实务</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新媒体运营</w:t>
            </w:r>
          </w:p>
        </w:tc>
        <w:tc>
          <w:tcPr>
            <w:tcW w:w="3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连锁经营管理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人力资源管理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游戏运营管理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电子竞技礼仪与职业素养</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电子竞技网络自媒体营销</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电子竞技俱乐部运营实务</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电子竞技职业生涯规划</w:t>
            </w:r>
          </w:p>
        </w:tc>
      </w:tr>
    </w:tbl>
    <w:p>
      <w:pPr>
        <w:numPr>
          <w:ilvl w:val="0"/>
          <w:numId w:val="0"/>
        </w:numPr>
        <w:rPr>
          <w:rFonts w:hint="eastAsia" w:ascii="宋体" w:hAnsi="宋体" w:eastAsia="宋体" w:cs="宋体"/>
          <w:color w:val="auto"/>
          <w:sz w:val="21"/>
          <w:szCs w:val="21"/>
        </w:rPr>
      </w:pPr>
      <w:r>
        <w:rPr>
          <w:color w:val="auto"/>
          <w:sz w:val="21"/>
        </w:rPr>
        <mc:AlternateContent>
          <mc:Choice Requires="wps">
            <w:drawing>
              <wp:anchor distT="0" distB="0" distL="114300" distR="114300" simplePos="0" relativeHeight="251658240" behindDoc="0" locked="0" layoutInCell="1" allowOverlap="1">
                <wp:simplePos x="0" y="0"/>
                <wp:positionH relativeFrom="column">
                  <wp:posOffset>2501900</wp:posOffset>
                </wp:positionH>
                <wp:positionV relativeFrom="paragraph">
                  <wp:posOffset>53975</wp:posOffset>
                </wp:positionV>
                <wp:extent cx="485775" cy="514985"/>
                <wp:effectExtent l="15240" t="6350" r="17145" b="12065"/>
                <wp:wrapNone/>
                <wp:docPr id="5" name="下箭头 5"/>
                <wp:cNvGraphicFramePr/>
                <a:graphic xmlns:a="http://schemas.openxmlformats.org/drawingml/2006/main">
                  <a:graphicData uri="http://schemas.microsoft.com/office/word/2010/wordprocessingShape">
                    <wps:wsp>
                      <wps:cNvSpPr/>
                      <wps:spPr>
                        <a:xfrm>
                          <a:off x="1197610" y="2877185"/>
                          <a:ext cx="485775" cy="51498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pt;margin-top:4.25pt;height:40.55pt;width:38.25pt;z-index:251658240;v-text-anchor:middle;mso-width-relative:page;mso-height-relative:page;" fillcolor="#FFFFFF [3201]" filled="t" stroked="t" coordsize="21600,21600" o:gfxdata="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8U56K2QAAAAgBAAAPAAAAAAAAAAEAIAAAACIAAABkcnMvZG93bnJl&#10;di54bWxQSwECFAAUAAAACACHTuJAnv5pUW4CAAC5BAAADgAAAAAAAAABACAAAAAoAQAAZHJzL2Uy&#10;b0RvYy54bWxQSwUGAAAAAAYABgBZAQAACAYAAAAA&#10;" adj="11413,5400">
                <v:fill on="t" focussize="0,0"/>
                <v:stroke weight="1pt" color="#70AD47 [3209]" miterlimit="8" joinstyle="miter"/>
                <v:imagedata o:title=""/>
                <o:lock v:ext="edit" aspectratio="f"/>
              </v:shape>
            </w:pict>
          </mc:Fallback>
        </mc:AlternateContent>
      </w:r>
    </w:p>
    <w:p>
      <w:pPr>
        <w:numPr>
          <w:ilvl w:val="0"/>
          <w:numId w:val="0"/>
        </w:numPr>
        <w:rPr>
          <w:rFonts w:hint="eastAsia" w:ascii="宋体" w:hAnsi="宋体" w:eastAsia="宋体" w:cs="宋体"/>
          <w:color w:val="auto"/>
          <w:sz w:val="21"/>
          <w:szCs w:val="21"/>
        </w:rPr>
      </w:pPr>
    </w:p>
    <w:p>
      <w:pPr>
        <w:numPr>
          <w:ilvl w:val="0"/>
          <w:numId w:val="0"/>
        </w:numPr>
        <w:rPr>
          <w:rFonts w:hint="eastAsia" w:ascii="宋体" w:hAnsi="宋体" w:eastAsia="宋体" w:cs="宋体"/>
          <w:color w:val="auto"/>
          <w:sz w:val="21"/>
          <w:szCs w:val="21"/>
        </w:rPr>
      </w:pPr>
    </w:p>
    <w:tbl>
      <w:tblPr>
        <w:tblStyle w:val="2"/>
        <w:tblW w:w="9004" w:type="dxa"/>
        <w:tblInd w:w="0" w:type="dxa"/>
        <w:shd w:val="clear" w:color="auto" w:fill="auto"/>
        <w:tblLayout w:type="fixed"/>
        <w:tblCellMar>
          <w:top w:w="0" w:type="dxa"/>
          <w:left w:w="0" w:type="dxa"/>
          <w:bottom w:w="0" w:type="dxa"/>
          <w:right w:w="0" w:type="dxa"/>
        </w:tblCellMar>
      </w:tblPr>
      <w:tblGrid>
        <w:gridCol w:w="1932"/>
        <w:gridCol w:w="2412"/>
        <w:gridCol w:w="2184"/>
        <w:gridCol w:w="2476"/>
      </w:tblGrid>
      <w:tr>
        <w:tblPrEx>
          <w:shd w:val="clear" w:color="auto" w:fill="auto"/>
          <w:tblCellMar>
            <w:top w:w="0" w:type="dxa"/>
            <w:left w:w="0" w:type="dxa"/>
            <w:bottom w:w="0" w:type="dxa"/>
            <w:right w:w="0" w:type="dxa"/>
          </w:tblCellMar>
        </w:tblPrEx>
        <w:trPr>
          <w:trHeight w:val="276" w:hRule="atLeast"/>
        </w:trPr>
        <w:tc>
          <w:tcPr>
            <w:tcW w:w="90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职业能力课</w:t>
            </w:r>
          </w:p>
        </w:tc>
      </w:tr>
      <w:tr>
        <w:tblPrEx>
          <w:shd w:val="clear" w:color="auto" w:fill="auto"/>
          <w:tblCellMar>
            <w:top w:w="0" w:type="dxa"/>
            <w:left w:w="0" w:type="dxa"/>
            <w:bottom w:w="0" w:type="dxa"/>
            <w:right w:w="0" w:type="dxa"/>
          </w:tblCellMar>
        </w:tblPrEx>
        <w:trPr>
          <w:trHeight w:val="828" w:hRule="atLeast"/>
        </w:trPr>
        <w:tc>
          <w:tcPr>
            <w:tcW w:w="19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电子竞技场馆管理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游戏运营管理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电子竞技解说实务</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电子竞技赛事活动策划</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游戏数据分析</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摄影摄像基础</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图形图像处理</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视频剪辑与制作</w:t>
            </w:r>
          </w:p>
        </w:tc>
        <w:tc>
          <w:tcPr>
            <w:tcW w:w="2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新媒体运营</w:t>
            </w:r>
            <w:r>
              <w:rPr>
                <w:rFonts w:hint="eastAsia" w:ascii="等线" w:hAnsi="等线" w:eastAsia="等线" w:cs="等线"/>
                <w:i w:val="0"/>
                <w:color w:val="auto"/>
                <w:kern w:val="0"/>
                <w:sz w:val="22"/>
                <w:szCs w:val="22"/>
                <w:u w:val="none"/>
                <w:lang w:val="en-US" w:eastAsia="zh-CN" w:bidi="ar"/>
              </w:rPr>
              <w:br w:type="textWrapping"/>
            </w:r>
            <w:r>
              <w:rPr>
                <w:rFonts w:hint="eastAsia" w:ascii="等线" w:hAnsi="等线" w:eastAsia="等线" w:cs="等线"/>
                <w:i w:val="0"/>
                <w:color w:val="auto"/>
                <w:kern w:val="0"/>
                <w:sz w:val="22"/>
                <w:szCs w:val="22"/>
                <w:u w:val="none"/>
                <w:lang w:val="en-US" w:eastAsia="zh-CN" w:bidi="ar"/>
              </w:rPr>
              <w:t>电子竞技网络自媒体营销</w:t>
            </w:r>
          </w:p>
        </w:tc>
      </w:tr>
    </w:tbl>
    <w:p>
      <w:pPr>
        <w:numPr>
          <w:ilvl w:val="0"/>
          <w:numId w:val="0"/>
        </w:numPr>
        <w:rPr>
          <w:rFonts w:hint="eastAsia" w:ascii="宋体" w:hAnsi="宋体" w:eastAsia="宋体" w:cs="宋体"/>
          <w:color w:val="auto"/>
          <w:sz w:val="21"/>
          <w:szCs w:val="21"/>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2524760</wp:posOffset>
                </wp:positionH>
                <wp:positionV relativeFrom="paragraph">
                  <wp:posOffset>42545</wp:posOffset>
                </wp:positionV>
                <wp:extent cx="485775" cy="514985"/>
                <wp:effectExtent l="15240" t="6350" r="17145" b="12065"/>
                <wp:wrapNone/>
                <wp:docPr id="6" name="下箭头 6"/>
                <wp:cNvGraphicFramePr/>
                <a:graphic xmlns:a="http://schemas.openxmlformats.org/drawingml/2006/main">
                  <a:graphicData uri="http://schemas.microsoft.com/office/word/2010/wordprocessingShape">
                    <wps:wsp>
                      <wps:cNvSpPr/>
                      <wps:spPr>
                        <a:xfrm>
                          <a:off x="0" y="0"/>
                          <a:ext cx="485775" cy="51498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8pt;margin-top:3.35pt;height:40.55pt;width:38.25pt;z-index:251659264;v-text-anchor:middle;mso-width-relative:page;mso-height-relative:page;" fillcolor="#FFFFFF [3201]" filled="t" stroked="t" coordsize="21600,21600" o:gfxdata="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JUYztkAAAAIAQAADwAAAAAAAAABACAAAAAiAAAAZHJzL2Rvd25yZXYueG1sUEsBAhQAFAAA&#10;AAgAh07iQLQcBWRgAgAArQQAAA4AAAAAAAAAAQAgAAAAKAEAAGRycy9lMm9Eb2MueG1sUEsFBgAA&#10;AAAGAAYAWQEAAPoFAAAAAA==&#10;" adj="11413,5400">
                <v:fill on="t" focussize="0,0"/>
                <v:stroke weight="1pt" color="#70AD47 [3209]" miterlimit="8" joinstyle="miter"/>
                <v:imagedata o:title=""/>
                <o:lock v:ext="edit" aspectratio="f"/>
              </v:shape>
            </w:pict>
          </mc:Fallback>
        </mc:AlternateContent>
      </w:r>
    </w:p>
    <w:p>
      <w:pPr>
        <w:numPr>
          <w:ilvl w:val="0"/>
          <w:numId w:val="0"/>
        </w:numPr>
        <w:rPr>
          <w:rFonts w:hint="eastAsia" w:ascii="宋体" w:hAnsi="宋体" w:eastAsia="宋体" w:cs="宋体"/>
          <w:color w:val="auto"/>
          <w:sz w:val="21"/>
          <w:szCs w:val="21"/>
        </w:rPr>
      </w:pPr>
    </w:p>
    <w:p>
      <w:pPr>
        <w:numPr>
          <w:ilvl w:val="0"/>
          <w:numId w:val="0"/>
        </w:numPr>
        <w:rPr>
          <w:rFonts w:hint="eastAsia" w:ascii="宋体" w:hAnsi="宋体" w:eastAsia="宋体" w:cs="宋体"/>
          <w:color w:val="auto"/>
          <w:sz w:val="21"/>
          <w:szCs w:val="21"/>
        </w:rPr>
      </w:pPr>
    </w:p>
    <w:tbl>
      <w:tblPr>
        <w:tblStyle w:val="2"/>
        <w:tblW w:w="5000" w:type="pct"/>
        <w:tblInd w:w="0" w:type="dxa"/>
        <w:shd w:val="clear" w:color="auto" w:fill="auto"/>
        <w:tblLayout w:type="autofit"/>
        <w:tblCellMar>
          <w:top w:w="0" w:type="dxa"/>
          <w:left w:w="0" w:type="dxa"/>
          <w:bottom w:w="0" w:type="dxa"/>
          <w:right w:w="0" w:type="dxa"/>
        </w:tblCellMar>
      </w:tblPr>
      <w:tblGrid>
        <w:gridCol w:w="3160"/>
        <w:gridCol w:w="3090"/>
        <w:gridCol w:w="2732"/>
      </w:tblGrid>
      <w:tr>
        <w:tblPrEx>
          <w:shd w:val="clear" w:color="auto" w:fill="auto"/>
          <w:tblCellMar>
            <w:top w:w="0" w:type="dxa"/>
            <w:left w:w="0" w:type="dxa"/>
            <w:bottom w:w="0" w:type="dxa"/>
            <w:right w:w="0" w:type="dxa"/>
          </w:tblCellMar>
        </w:tblPrEx>
        <w:trPr>
          <w:trHeight w:val="276"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模拟 1+X 职业技能等级标准</w:t>
            </w:r>
          </w:p>
        </w:tc>
      </w:tr>
      <w:tr>
        <w:tblPrEx>
          <w:shd w:val="clear" w:color="auto" w:fill="auto"/>
          <w:tblCellMar>
            <w:top w:w="0" w:type="dxa"/>
            <w:left w:w="0" w:type="dxa"/>
            <w:bottom w:w="0" w:type="dxa"/>
            <w:right w:w="0" w:type="dxa"/>
          </w:tblCellMar>
        </w:tblPrEx>
        <w:trPr>
          <w:trHeight w:val="828" w:hRule="atLeast"/>
        </w:trPr>
        <w:tc>
          <w:tcPr>
            <w:tcW w:w="175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电子竞技运营师（俱乐部管理、场馆管理、赛事运营、数据分析）</w:t>
            </w:r>
          </w:p>
        </w:tc>
        <w:tc>
          <w:tcPr>
            <w:tcW w:w="17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新媒体运营师（新媒体编辑、新媒体营销、短视频制作）</w:t>
            </w:r>
          </w:p>
        </w:tc>
        <w:tc>
          <w:tcPr>
            <w:tcW w:w="152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等线" w:hAnsi="等线" w:eastAsia="等线" w:cs="等线"/>
                <w:i w:val="0"/>
                <w:color w:val="auto"/>
                <w:sz w:val="22"/>
                <w:szCs w:val="22"/>
                <w:u w:val="none"/>
              </w:rPr>
            </w:pPr>
            <w:r>
              <w:rPr>
                <w:rFonts w:hint="eastAsia" w:ascii="等线" w:hAnsi="等线" w:eastAsia="等线" w:cs="等线"/>
                <w:i w:val="0"/>
                <w:color w:val="auto"/>
                <w:kern w:val="0"/>
                <w:sz w:val="22"/>
                <w:szCs w:val="22"/>
                <w:u w:val="none"/>
                <w:lang w:val="en-US" w:eastAsia="zh-CN" w:bidi="ar"/>
              </w:rPr>
              <w:t>主播运营（游戏主播、主播经纪人）</w:t>
            </w:r>
          </w:p>
        </w:tc>
      </w:tr>
    </w:tbl>
    <w:p>
      <w:pPr>
        <w:keepNext w:val="0"/>
        <w:keepLines w:val="0"/>
        <w:widowControl/>
        <w:suppressLineNumbers w:val="0"/>
        <w:jc w:val="left"/>
        <w:rPr>
          <w:color w:val="auto"/>
        </w:rPr>
      </w:pPr>
      <w:r>
        <w:rPr>
          <w:rFonts w:ascii="Calibri" w:hAnsi="Calibri" w:eastAsia="宋体" w:cs="Calibri"/>
          <w:b/>
          <w:color w:val="auto"/>
          <w:kern w:val="0"/>
          <w:sz w:val="21"/>
          <w:szCs w:val="21"/>
          <w:lang w:val="en-US" w:eastAsia="zh-CN" w:bidi="ar"/>
        </w:rPr>
        <w:t>3</w:t>
      </w:r>
      <w:r>
        <w:rPr>
          <w:rFonts w:hint="eastAsia" w:ascii="宋体" w:hAnsi="宋体" w:eastAsia="宋体" w:cs="宋体"/>
          <w:b/>
          <w:color w:val="auto"/>
          <w:kern w:val="0"/>
          <w:sz w:val="21"/>
          <w:szCs w:val="21"/>
          <w:lang w:val="en-US" w:eastAsia="zh-CN" w:bidi="ar"/>
        </w:rPr>
        <w:t xml:space="preserve">、专业核心课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drawing>
          <wp:inline distT="0" distB="0" distL="114300" distR="114300">
            <wp:extent cx="5681345" cy="3208020"/>
            <wp:effectExtent l="0" t="0" r="3175" b="7620"/>
            <wp:docPr id="7" name="图片 7" descr="e9f537b7e5c3b90529ecec22d32b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f537b7e5c3b90529ecec22d32b817"/>
                    <pic:cNvPicPr>
                      <a:picLocks noChangeAspect="1"/>
                    </pic:cNvPicPr>
                  </pic:nvPicPr>
                  <pic:blipFill>
                    <a:blip r:embed="rId5"/>
                    <a:stretch>
                      <a:fillRect/>
                    </a:stretch>
                  </pic:blipFill>
                  <pic:spPr>
                    <a:xfrm>
                      <a:off x="0" y="0"/>
                      <a:ext cx="5681345" cy="3208020"/>
                    </a:xfrm>
                    <a:prstGeom prst="rect">
                      <a:avLst/>
                    </a:prstGeom>
                  </pic:spPr>
                </pic:pic>
              </a:graphicData>
            </a:graphic>
          </wp:inline>
        </w:drawing>
      </w:r>
      <w:r>
        <w:rPr>
          <w:rFonts w:hint="eastAsia" w:ascii="宋体" w:hAnsi="宋体" w:eastAsia="宋体" w:cs="宋体"/>
          <w:color w:val="auto"/>
          <w:kern w:val="0"/>
          <w:sz w:val="21"/>
          <w:szCs w:val="21"/>
          <w:lang w:val="en-US" w:eastAsia="zh-CN" w:bidi="ar"/>
        </w:rPr>
        <w:t xml:space="preserve"> </w:t>
      </w:r>
    </w:p>
    <w:p>
      <w:pPr>
        <w:keepNext w:val="0"/>
        <w:keepLines w:val="0"/>
        <w:widowControl/>
        <w:suppressLineNumbers w:val="0"/>
        <w:jc w:val="left"/>
        <w:rPr>
          <w:color w:val="auto"/>
        </w:rPr>
      </w:pPr>
      <w:r>
        <w:rPr>
          <w:rFonts w:ascii="Calibri" w:hAnsi="Calibri" w:eastAsia="宋体" w:cs="Calibri"/>
          <w:b/>
          <w:color w:val="auto"/>
          <w:kern w:val="0"/>
          <w:sz w:val="21"/>
          <w:szCs w:val="21"/>
          <w:lang w:val="en-US" w:eastAsia="zh-CN" w:bidi="ar"/>
        </w:rPr>
        <w:t>4</w:t>
      </w:r>
      <w:r>
        <w:rPr>
          <w:rFonts w:hint="eastAsia" w:ascii="宋体" w:hAnsi="宋体" w:eastAsia="宋体" w:cs="宋体"/>
          <w:b/>
          <w:color w:val="auto"/>
          <w:kern w:val="0"/>
          <w:sz w:val="21"/>
          <w:szCs w:val="21"/>
          <w:lang w:val="en-US" w:eastAsia="zh-CN" w:bidi="ar"/>
        </w:rPr>
        <w:t xml:space="preserve">、实践性教学环节 </w:t>
      </w:r>
    </w:p>
    <w:p>
      <w:pPr>
        <w:keepNext w:val="0"/>
        <w:keepLines w:val="0"/>
        <w:widowControl/>
        <w:suppressLineNumbers w:val="0"/>
        <w:jc w:val="left"/>
        <w:rPr>
          <w:color w:val="auto"/>
        </w:rPr>
      </w:pPr>
    </w:p>
    <w:p>
      <w:pPr>
        <w:numPr>
          <w:ilvl w:val="0"/>
          <w:numId w:val="0"/>
        </w:numPr>
        <w:rPr>
          <w:rFonts w:hint="eastAsia" w:ascii="宋体" w:hAnsi="宋体" w:eastAsia="宋体" w:cs="宋体"/>
          <w:color w:val="auto"/>
          <w:sz w:val="21"/>
          <w:szCs w:val="21"/>
        </w:rPr>
      </w:pPr>
    </w:p>
    <w:p>
      <w:pPr>
        <w:numPr>
          <w:ilvl w:val="0"/>
          <w:numId w:val="0"/>
        </w:numPr>
        <w:rPr>
          <w:rFonts w:hint="eastAsia" w:ascii="宋体" w:hAnsi="宋体" w:eastAsia="宋体" w:cs="宋体"/>
          <w:color w:val="auto"/>
          <w:sz w:val="21"/>
          <w:szCs w:val="21"/>
        </w:rPr>
      </w:pPr>
    </w:p>
    <w:p>
      <w:pPr>
        <w:numPr>
          <w:ilvl w:val="0"/>
          <w:numId w:val="0"/>
        </w:numPr>
        <w:rPr>
          <w:rFonts w:hint="eastAsia" w:ascii="宋体" w:hAnsi="宋体" w:eastAsia="宋体" w:cs="宋体"/>
          <w:color w:val="auto"/>
          <w:sz w:val="21"/>
          <w:szCs w:val="21"/>
        </w:rPr>
      </w:pPr>
    </w:p>
    <w:p>
      <w:pPr>
        <w:numPr>
          <w:ilvl w:val="0"/>
          <w:numId w:val="0"/>
        </w:numPr>
        <w:rPr>
          <w:rFonts w:hint="eastAsia" w:ascii="宋体" w:hAnsi="宋体" w:eastAsia="宋体" w:cs="宋体"/>
          <w:color w:val="auto"/>
          <w:sz w:val="21"/>
          <w:szCs w:val="21"/>
        </w:rPr>
      </w:pP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电竞项目实训（104学时/4学分）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课主要讲授MOBA类、FPS类、RTS类、卡牌类当下主流电竞项目并掌握对这些主流项目的历史、受众及玩法，了解当下火热电竞项目战术如：41分推体系、四保一体系、POKE流打法等等。学会进行电竞项目复盘，对未来的电竞项目玩法和趋势做探讨研究。</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电子竞技赛事运营实训（208学时/8学分）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赛事理论课程的基础上，通过真实落地的电竞完整赛事，让学生全场参与赛事前期筹备、策划，分组进行赛事相关宣传、海选报名选拔、进阶赛事、决赛等环节完整的参与到线下电竞赛事，在赛事后进行经验总结，理论与实践相结合，让学生真正掌握赛事相关知识。</w:t>
      </w:r>
    </w:p>
    <w:p>
      <w:pPr>
        <w:keepNext w:val="0"/>
        <w:keepLines w:val="0"/>
        <w:widowControl/>
        <w:suppressLineNumbers w:val="0"/>
        <w:jc w:val="left"/>
        <w:rPr>
          <w:color w:val="auto"/>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en-US" w:eastAsia="zh-CN" w:bidi="ar"/>
        </w:rPr>
        <w:t>公共礼仪实训（</w:t>
      </w:r>
      <w:r>
        <w:rPr>
          <w:rFonts w:hint="default" w:ascii="Calibri" w:hAnsi="Calibri" w:eastAsia="宋体" w:cs="Calibri"/>
          <w:color w:val="auto"/>
          <w:kern w:val="0"/>
          <w:sz w:val="21"/>
          <w:szCs w:val="21"/>
          <w:lang w:val="en-US" w:eastAsia="zh-CN" w:bidi="ar"/>
        </w:rPr>
        <w:t xml:space="preserve">26 </w:t>
      </w:r>
      <w:r>
        <w:rPr>
          <w:rFonts w:hint="eastAsia" w:ascii="宋体" w:hAnsi="宋体" w:eastAsia="宋体" w:cs="宋体"/>
          <w:color w:val="auto"/>
          <w:kern w:val="0"/>
          <w:sz w:val="21"/>
          <w:szCs w:val="21"/>
          <w:lang w:val="en-US" w:eastAsia="zh-CN" w:bidi="ar"/>
        </w:rPr>
        <w:t>学时</w:t>
      </w:r>
      <w:r>
        <w:rPr>
          <w:rFonts w:hint="default" w:ascii="Calibri" w:hAnsi="Calibri" w:eastAsia="宋体" w:cs="Calibri"/>
          <w:color w:val="auto"/>
          <w:kern w:val="0"/>
          <w:sz w:val="21"/>
          <w:szCs w:val="21"/>
          <w:lang w:val="en-US" w:eastAsia="zh-CN" w:bidi="ar"/>
        </w:rPr>
        <w:t xml:space="preserve">/1 </w:t>
      </w:r>
      <w:r>
        <w:rPr>
          <w:rFonts w:hint="eastAsia" w:ascii="宋体" w:hAnsi="宋体" w:eastAsia="宋体" w:cs="宋体"/>
          <w:color w:val="auto"/>
          <w:kern w:val="0"/>
          <w:sz w:val="21"/>
          <w:szCs w:val="21"/>
          <w:lang w:val="en-US" w:eastAsia="zh-CN" w:bidi="ar"/>
        </w:rPr>
        <w:t xml:space="preserve">学分） </w:t>
      </w:r>
    </w:p>
    <w:p>
      <w:pPr>
        <w:keepNext w:val="0"/>
        <w:keepLines w:val="0"/>
        <w:widowControl/>
        <w:suppressLineNumbers w:val="0"/>
        <w:ind w:firstLine="420" w:firstLineChars="200"/>
        <w:jc w:val="left"/>
        <w:rPr>
          <w:color w:val="auto"/>
        </w:rPr>
      </w:pPr>
      <w:r>
        <w:rPr>
          <w:rFonts w:hint="eastAsia" w:ascii="宋体" w:hAnsi="宋体" w:eastAsia="宋体" w:cs="宋体"/>
          <w:color w:val="auto"/>
          <w:kern w:val="0"/>
          <w:sz w:val="21"/>
          <w:szCs w:val="21"/>
          <w:lang w:val="en-US" w:eastAsia="zh-CN" w:bidi="ar"/>
        </w:rPr>
        <w:t xml:space="preserve">旨在让学生明确在各种场合应该遵循的举止和礼仪方面的规范与标准，树立自身的形象。实训 </w:t>
      </w: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 xml:space="preserve">内容主要为个人礼仪、会面礼仪、位次礼仪、餐饮礼仪、政务礼仪、销售礼仪、会务礼仪、仪典礼 </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仪、服务礼仪、外事礼仪、求职面试礼仪等。 </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市场调研</w:t>
      </w:r>
      <w:r>
        <w:rPr>
          <w:rFonts w:hint="eastAsia" w:ascii="宋体" w:hAnsi="宋体" w:eastAsia="宋体" w:cs="宋体"/>
          <w:color w:val="auto"/>
          <w:sz w:val="21"/>
          <w:szCs w:val="21"/>
          <w:lang w:val="en-US" w:eastAsia="zh-CN"/>
        </w:rPr>
        <w:t>实训</w:t>
      </w:r>
      <w:r>
        <w:rPr>
          <w:rFonts w:hint="eastAsia" w:ascii="宋体" w:hAnsi="宋体" w:eastAsia="宋体" w:cs="宋体"/>
          <w:color w:val="auto"/>
          <w:sz w:val="21"/>
          <w:szCs w:val="21"/>
        </w:rPr>
        <w:t>（26学时/1学分）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本课程实训，提高学生的专业素质与心理应变和抗压素质，在实训过程中，锻炼学生的团队协助与互帮互助精神，提高学生的行业认知与对行业发展趋势对了解。</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新媒体经营实训</w:t>
      </w:r>
      <w:r>
        <w:rPr>
          <w:rFonts w:hint="eastAsia" w:ascii="宋体" w:hAnsi="宋体" w:eastAsia="宋体" w:cs="宋体"/>
          <w:color w:val="auto"/>
          <w:sz w:val="21"/>
          <w:szCs w:val="21"/>
        </w:rPr>
        <w:t>（26学时/1学分）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本课程主要包括了解</w:t>
      </w:r>
      <w:r>
        <w:rPr>
          <w:rFonts w:hint="eastAsia" w:ascii="宋体" w:hAnsi="宋体" w:eastAsia="宋体" w:cs="宋体"/>
          <w:color w:val="auto"/>
          <w:sz w:val="21"/>
          <w:szCs w:val="21"/>
          <w:lang w:val="en-US" w:eastAsia="zh-CN"/>
        </w:rPr>
        <w:t>新媒体运作，包括主播、经纪人、新媒体编辑、素材采集、摄影摄像、图形图像处理，视频剪辑、影视特效等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主旨在于进行模拟经营，增强以后就业的体验感和代入感，以实地的考察和实际经营为目标，培养学生的专业意识和专业素养并能够学以致用。</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多岗位综合实训（</w:t>
      </w:r>
      <w:r>
        <w:rPr>
          <w:rFonts w:hint="eastAsia" w:ascii="宋体" w:hAnsi="宋体" w:eastAsia="宋体" w:cs="宋体"/>
          <w:color w:val="auto"/>
          <w:sz w:val="21"/>
          <w:szCs w:val="21"/>
          <w:lang w:val="en-US" w:eastAsia="zh-CN"/>
        </w:rPr>
        <w:t>52</w:t>
      </w:r>
      <w:r>
        <w:rPr>
          <w:rFonts w:hint="eastAsia" w:ascii="宋体" w:hAnsi="宋体" w:eastAsia="宋体" w:cs="宋体"/>
          <w:color w:val="auto"/>
          <w:sz w:val="21"/>
          <w:szCs w:val="21"/>
        </w:rPr>
        <w:t>学时/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学分）</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本课主要讲授在电子竞技场馆、俱乐部等其他电竞行业部门和岗位的职业职责，提前进行电竞多行业多岗位实训，掌握当下电竞企业的管理模式和行业资源，提高学生工作能力和未来就业能力。</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电竞项目运营综合实训（104学时/4学分）</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在电子竞技实训中心进行场馆经营、赛事承接、游戏主播、新媒体运营、社会服务、创业孵化等综合实训和真实项目对接。</w:t>
      </w:r>
    </w:p>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毕业顶岗实习（540学时/18学分，地点：校外）</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通过顶岗实习，进一步提高学生的专业实践技能，增强社会适应能力、就业能力，了解社会，熟悉企业生产经营活动业务全过程，增强对职业岗位认识，为顶岗从事专业工作奠定坚实的基础。</w:t>
      </w:r>
    </w:p>
    <w:p>
      <w:pPr>
        <w:keepNext w:val="0"/>
        <w:keepLines w:val="0"/>
        <w:widowControl/>
        <w:suppressLineNumbers w:val="0"/>
        <w:jc w:val="left"/>
        <w:rPr>
          <w:color w:val="auto"/>
        </w:rPr>
      </w:pPr>
      <w:r>
        <w:rPr>
          <w:rFonts w:ascii="Calibri" w:hAnsi="Calibri" w:eastAsia="宋体" w:cs="Calibri"/>
          <w:b/>
          <w:color w:val="auto"/>
          <w:kern w:val="0"/>
          <w:sz w:val="21"/>
          <w:szCs w:val="21"/>
          <w:lang w:val="en-US" w:eastAsia="zh-CN" w:bidi="ar"/>
        </w:rPr>
        <w:t>5</w:t>
      </w:r>
      <w:r>
        <w:rPr>
          <w:rFonts w:hint="eastAsia" w:ascii="宋体" w:hAnsi="宋体" w:eastAsia="宋体" w:cs="宋体"/>
          <w:b/>
          <w:color w:val="auto"/>
          <w:kern w:val="0"/>
          <w:sz w:val="21"/>
          <w:szCs w:val="21"/>
          <w:lang w:val="en-US" w:eastAsia="zh-CN" w:bidi="ar"/>
        </w:rPr>
        <w:t>、大学生德育课程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八</w:t>
      </w:r>
      <w:r>
        <w:rPr>
          <w:rFonts w:hint="eastAsia" w:ascii="黑体" w:hAnsi="黑体" w:eastAsia="黑体" w:cs="黑体"/>
          <w:color w:val="auto"/>
          <w:sz w:val="28"/>
          <w:szCs w:val="28"/>
        </w:rPr>
        <w:t>、</w:t>
      </w:r>
      <w:r>
        <w:rPr>
          <w:rFonts w:hint="eastAsia" w:ascii="黑体" w:hAnsi="黑体" w:eastAsia="黑体" w:cs="黑体"/>
          <w:color w:val="auto"/>
          <w:sz w:val="28"/>
          <w:szCs w:val="28"/>
          <w:lang w:val="en-US" w:eastAsia="zh-CN"/>
        </w:rPr>
        <w:t>教学基本条件</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（一）师资队伍</w:t>
      </w:r>
    </w:p>
    <w:p>
      <w:pP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drawing>
          <wp:inline distT="0" distB="0" distL="114300" distR="114300">
            <wp:extent cx="5687060" cy="3067685"/>
            <wp:effectExtent l="0" t="0" r="12700" b="10795"/>
            <wp:docPr id="4" name="图片 4" descr="7330a59856a45cf88ef5cad7eead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330a59856a45cf88ef5cad7eeadf08"/>
                    <pic:cNvPicPr>
                      <a:picLocks noChangeAspect="1"/>
                    </pic:cNvPicPr>
                  </pic:nvPicPr>
                  <pic:blipFill>
                    <a:blip r:embed="rId6"/>
                    <a:stretch>
                      <a:fillRect/>
                    </a:stretch>
                  </pic:blipFill>
                  <pic:spPr>
                    <a:xfrm>
                      <a:off x="0" y="0"/>
                      <a:ext cx="5687060" cy="3067685"/>
                    </a:xfrm>
                    <a:prstGeom prst="rect">
                      <a:avLst/>
                    </a:prstGeom>
                  </pic:spPr>
                </pic:pic>
              </a:graphicData>
            </a:graphic>
          </wp:inline>
        </w:drawing>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（二）教学设施</w:t>
      </w:r>
    </w:p>
    <w:p>
      <w:pPr>
        <w:rPr>
          <w:rFonts w:hint="eastAsia" w:ascii="宋体" w:hAnsi="宋体" w:eastAsia="宋体" w:cs="宋体"/>
          <w:color w:val="auto"/>
          <w:sz w:val="21"/>
          <w:szCs w:val="21"/>
        </w:rPr>
      </w:pPr>
      <w:r>
        <w:rPr>
          <w:rFonts w:hint="eastAsia" w:ascii="宋体" w:hAnsi="宋体" w:eastAsia="宋体" w:cs="宋体"/>
          <w:color w:val="auto"/>
          <w:sz w:val="21"/>
          <w:szCs w:val="21"/>
        </w:rPr>
        <w:t>1.校内实验、实训设施</w:t>
      </w:r>
    </w:p>
    <w:tbl>
      <w:tblPr>
        <w:tblStyle w:val="2"/>
        <w:tblW w:w="4998" w:type="pct"/>
        <w:tblInd w:w="0" w:type="dxa"/>
        <w:shd w:val="clear" w:color="auto" w:fill="auto"/>
        <w:tblLayout w:type="autofit"/>
        <w:tblCellMar>
          <w:top w:w="0" w:type="dxa"/>
          <w:left w:w="0" w:type="dxa"/>
          <w:bottom w:w="0" w:type="dxa"/>
          <w:right w:w="0" w:type="dxa"/>
        </w:tblCellMar>
      </w:tblPr>
      <w:tblGrid>
        <w:gridCol w:w="1188"/>
        <w:gridCol w:w="2439"/>
        <w:gridCol w:w="3939"/>
        <w:gridCol w:w="1412"/>
      </w:tblGrid>
      <w:tr>
        <w:tblPrEx>
          <w:shd w:val="clear" w:color="auto" w:fill="auto"/>
          <w:tblCellMar>
            <w:top w:w="0" w:type="dxa"/>
            <w:left w:w="0" w:type="dxa"/>
            <w:bottom w:w="0" w:type="dxa"/>
            <w:right w:w="0" w:type="dxa"/>
          </w:tblCellMar>
        </w:tblPrEx>
        <w:trPr>
          <w:trHeight w:val="288"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序号</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名称</w:t>
            </w:r>
          </w:p>
        </w:tc>
        <w:tc>
          <w:tcPr>
            <w:tcW w:w="21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实训设施</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288" w:hRule="atLeast"/>
        </w:trPr>
        <w:tc>
          <w:tcPr>
            <w:tcW w:w="66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3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电子竞技训练室</w:t>
            </w:r>
          </w:p>
        </w:tc>
        <w:tc>
          <w:tcPr>
            <w:tcW w:w="21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服务器、网络、电脑、大屏幕</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筹划</w:t>
            </w:r>
          </w:p>
        </w:tc>
      </w:tr>
      <w:tr>
        <w:tblPrEx>
          <w:tblCellMar>
            <w:top w:w="0" w:type="dxa"/>
            <w:left w:w="0" w:type="dxa"/>
            <w:bottom w:w="0" w:type="dxa"/>
            <w:right w:w="0" w:type="dxa"/>
          </w:tblCellMar>
        </w:tblPrEx>
        <w:trPr>
          <w:trHeight w:val="462" w:hRule="atLeast"/>
        </w:trPr>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35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电子竞技舞台</w:t>
            </w:r>
          </w:p>
        </w:tc>
        <w:tc>
          <w:tcPr>
            <w:tcW w:w="219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舞台大屏幕、电脑、灯光音响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麦克风、导播系统、录播系统</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筹划</w:t>
            </w:r>
          </w:p>
        </w:tc>
      </w:tr>
      <w:tr>
        <w:tblPrEx>
          <w:shd w:val="clear" w:color="auto" w:fill="auto"/>
          <w:tblCellMar>
            <w:top w:w="0" w:type="dxa"/>
            <w:left w:w="0" w:type="dxa"/>
            <w:bottom w:w="0" w:type="dxa"/>
            <w:right w:w="0" w:type="dxa"/>
          </w:tblCellMar>
        </w:tblPrEx>
        <w:trPr>
          <w:trHeight w:val="288" w:hRule="atLeast"/>
        </w:trPr>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3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1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bl>
    <w:p>
      <w:pPr>
        <w:rPr>
          <w:rFonts w:hint="eastAsia" w:ascii="宋体" w:hAnsi="宋体" w:eastAsia="宋体" w:cs="宋体"/>
          <w:color w:val="auto"/>
          <w:sz w:val="21"/>
          <w:szCs w:val="21"/>
        </w:rPr>
      </w:pPr>
      <w:r>
        <w:rPr>
          <w:rFonts w:hint="eastAsia" w:ascii="宋体" w:hAnsi="宋体" w:eastAsia="宋体" w:cs="宋体"/>
          <w:color w:val="auto"/>
          <w:sz w:val="21"/>
          <w:szCs w:val="21"/>
        </w:rPr>
        <w:t>2.校外实训基地</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虎剑电竞、欢乐园、艾尔文、大神电竞、大鹅电竞、伐木累、长甲集团、顺网科技、网鱼网咖、豚首互娱、奇迹山、WE俱乐部、XQ俱乐部、LGD俱乐部、OMG俱乐部、KA女子战队（盖奇）等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)教学资源</w:t>
      </w:r>
    </w:p>
    <w:p>
      <w:pPr>
        <w:rPr>
          <w:rFonts w:hint="eastAsia" w:ascii="宋体" w:hAnsi="宋体" w:eastAsia="宋体" w:cs="宋体"/>
          <w:color w:val="auto"/>
          <w:sz w:val="21"/>
          <w:szCs w:val="21"/>
        </w:rPr>
      </w:pPr>
      <w:r>
        <w:rPr>
          <w:rFonts w:hint="eastAsia" w:ascii="宋体" w:hAnsi="宋体" w:eastAsia="宋体" w:cs="宋体"/>
          <w:color w:val="auto"/>
          <w:sz w:val="21"/>
          <w:szCs w:val="21"/>
        </w:rPr>
        <w:t>1、教材方面</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本专业教材的选用严格根据教育部《职业院校教材管理办法》（教材〔2019〕3 号）文件精神，并遵守《经管学院教材选用管理暂行办法》。专业核心课程原则上从国家和省级教育行政部门发布的规划教材目录《职业教育国家规划教材书目》中选用，且要求选用近三～五年出版的新版修订教材，选用目录外教材要说明选用理由。教材选用应保持相对连续性，不得因任课教师临时变动或其它原因随意更换，教材选用还应考虑学生经济承受能力，杜绝选用包销质劣的教材。专业基础课和专业选修课在同类教材中优先选用国家级规划教材、国家教学资源库及省部级教学资源库教材、教育部行业职业教育教学指导委员会推荐教材、全国百佳出版社出版的规划教材、各级各类精品教材、获奖教材等，且应选用近三年出版的新教材或修订版教材。</w:t>
      </w:r>
    </w:p>
    <w:p>
      <w:pPr>
        <w:rPr>
          <w:rFonts w:hint="eastAsia" w:ascii="宋体" w:hAnsi="宋体" w:eastAsia="宋体" w:cs="宋体"/>
          <w:color w:val="auto"/>
          <w:sz w:val="21"/>
          <w:szCs w:val="21"/>
        </w:rPr>
      </w:pPr>
      <w:r>
        <w:rPr>
          <w:rFonts w:hint="eastAsia" w:ascii="宋体" w:hAnsi="宋体" w:eastAsia="宋体" w:cs="宋体"/>
          <w:color w:val="auto"/>
          <w:sz w:val="21"/>
          <w:szCs w:val="21"/>
        </w:rPr>
        <w:t>2、信息化教学资源</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对教师进行培训，提高教师合理运用现代信息技术进行教学活动的水平，充分利用学校开设的精品在线开放课程网络平台，精品在线开放课程的教学标准、教案、课件、习题、技能指导、参考文献目录等线上资源，实现优质教学资源共享，带动课程的建设。同时教学过程应该积极使用超星学习通网络课件系统（包括超星学习通网络实时录播机和超星学习通网络课程管理软件平台）。</w:t>
      </w:r>
    </w:p>
    <w:p>
      <w:pPr>
        <w:rPr>
          <w:rFonts w:hint="eastAsia" w:ascii="宋体" w:hAnsi="宋体" w:eastAsia="宋体" w:cs="宋体"/>
          <w:color w:val="auto"/>
          <w:sz w:val="21"/>
          <w:szCs w:val="21"/>
        </w:rPr>
      </w:pPr>
      <w:r>
        <w:rPr>
          <w:rFonts w:hint="eastAsia" w:ascii="宋体" w:hAnsi="宋体" w:eastAsia="宋体" w:cs="宋体"/>
          <w:color w:val="auto"/>
          <w:sz w:val="21"/>
          <w:szCs w:val="21"/>
        </w:rPr>
        <w:t>3、推进信息技术与教学有机融合</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（四）教学方法</w:t>
      </w:r>
    </w:p>
    <w:p>
      <w:pPr>
        <w:rPr>
          <w:rFonts w:hint="eastAsia" w:ascii="宋体" w:hAnsi="宋体" w:eastAsia="宋体" w:cs="宋体"/>
          <w:color w:val="auto"/>
          <w:sz w:val="21"/>
          <w:szCs w:val="21"/>
        </w:rPr>
      </w:pPr>
      <w:r>
        <w:rPr>
          <w:rFonts w:hint="eastAsia" w:ascii="宋体" w:hAnsi="宋体" w:eastAsia="宋体" w:cs="宋体"/>
          <w:color w:val="auto"/>
          <w:sz w:val="21"/>
          <w:szCs w:val="21"/>
        </w:rPr>
        <w:t>1、关于理论课教学内容</w:t>
      </w:r>
    </w:p>
    <w:p>
      <w:pPr>
        <w:rPr>
          <w:rFonts w:hint="eastAsia" w:ascii="宋体" w:hAnsi="宋体" w:eastAsia="宋体" w:cs="宋体"/>
          <w:color w:val="auto"/>
          <w:sz w:val="21"/>
          <w:szCs w:val="21"/>
        </w:rPr>
      </w:pPr>
      <w:r>
        <w:rPr>
          <w:rFonts w:hint="eastAsia" w:ascii="宋体" w:hAnsi="宋体" w:eastAsia="宋体" w:cs="宋体"/>
          <w:color w:val="auto"/>
          <w:sz w:val="21"/>
          <w:szCs w:val="21"/>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w:t>
      </w:r>
    </w:p>
    <w:p>
      <w:pPr>
        <w:rPr>
          <w:rFonts w:hint="eastAsia" w:ascii="宋体" w:hAnsi="宋体" w:eastAsia="宋体" w:cs="宋体"/>
          <w:color w:val="auto"/>
          <w:sz w:val="21"/>
          <w:szCs w:val="21"/>
        </w:rPr>
      </w:pPr>
      <w:r>
        <w:rPr>
          <w:rFonts w:hint="eastAsia" w:ascii="宋体" w:hAnsi="宋体" w:eastAsia="宋体" w:cs="宋体"/>
          <w:color w:val="auto"/>
          <w:sz w:val="21"/>
          <w:szCs w:val="21"/>
        </w:rPr>
        <w:t>专业知识模块对应不同的就业岗位，一环紧接着下一环，最后完成从基础知识到工作岗位所需专业知识。</w:t>
      </w:r>
    </w:p>
    <w:p>
      <w:pPr>
        <w:rPr>
          <w:rFonts w:hint="eastAsia" w:ascii="宋体" w:hAnsi="宋体" w:eastAsia="宋体" w:cs="宋体"/>
          <w:color w:val="auto"/>
          <w:sz w:val="21"/>
          <w:szCs w:val="21"/>
        </w:rPr>
      </w:pPr>
      <w:r>
        <w:rPr>
          <w:rFonts w:hint="eastAsia" w:ascii="宋体" w:hAnsi="宋体" w:eastAsia="宋体" w:cs="宋体"/>
          <w:color w:val="auto"/>
          <w:sz w:val="21"/>
          <w:szCs w:val="21"/>
        </w:rPr>
        <w:t>2、关于实践课</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主要依托</w:t>
      </w:r>
      <w:r>
        <w:rPr>
          <w:rFonts w:hint="eastAsia" w:ascii="宋体" w:hAnsi="宋体" w:eastAsia="宋体" w:cs="宋体"/>
          <w:color w:val="auto"/>
          <w:sz w:val="21"/>
          <w:szCs w:val="21"/>
          <w:lang w:val="en-US" w:eastAsia="zh-CN"/>
        </w:rPr>
        <w:t>福建省互联网上网服务行业协会、三明市电子竞技协会、厦门虎剑教育科技有限公司</w:t>
      </w:r>
      <w:r>
        <w:rPr>
          <w:rFonts w:hint="eastAsia" w:ascii="宋体" w:hAnsi="宋体" w:eastAsia="宋体" w:cs="宋体"/>
          <w:color w:val="auto"/>
          <w:sz w:val="21"/>
          <w:szCs w:val="21"/>
        </w:rPr>
        <w:t>开展实践课，采取理论和实践教学交叉、交融的方式，将有关理论知识和实践教学环节结合起来，提高学生的技能和应用能力。在安排上，低年级以学习单项技能为主，高年级以掌握新技术和综合技术为主。</w:t>
      </w:r>
    </w:p>
    <w:p>
      <w:pPr>
        <w:rPr>
          <w:rFonts w:hint="eastAsia" w:ascii="宋体" w:hAnsi="宋体" w:eastAsia="宋体" w:cs="宋体"/>
          <w:color w:val="auto"/>
          <w:sz w:val="21"/>
          <w:szCs w:val="21"/>
        </w:rPr>
      </w:pPr>
      <w:r>
        <w:rPr>
          <w:rFonts w:hint="eastAsia" w:ascii="宋体" w:hAnsi="宋体" w:eastAsia="宋体" w:cs="宋体"/>
          <w:color w:val="auto"/>
          <w:sz w:val="21"/>
          <w:szCs w:val="21"/>
        </w:rPr>
        <w:t>3、关于产学结合的培养途径</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以</w:t>
      </w:r>
      <w:r>
        <w:rPr>
          <w:rFonts w:hint="eastAsia" w:ascii="宋体" w:hAnsi="宋体" w:eastAsia="宋体" w:cs="宋体"/>
          <w:color w:val="auto"/>
          <w:sz w:val="21"/>
          <w:szCs w:val="21"/>
          <w:lang w:val="en-US" w:eastAsia="zh-CN"/>
        </w:rPr>
        <w:t>厦门虎剑教育科技有限公司、上海竞象文化传播有限公司、北京文华互联会展有限公司</w:t>
      </w:r>
      <w:r>
        <w:rPr>
          <w:rFonts w:hint="eastAsia" w:ascii="宋体" w:hAnsi="宋体" w:eastAsia="宋体" w:cs="宋体"/>
          <w:color w:val="auto"/>
          <w:sz w:val="21"/>
          <w:szCs w:val="21"/>
        </w:rPr>
        <w:t>等企业为依托，开发实战项目和创业项目，重点培养学生在真实环境下开展</w:t>
      </w:r>
      <w:r>
        <w:rPr>
          <w:rFonts w:hint="eastAsia" w:ascii="宋体" w:hAnsi="宋体" w:eastAsia="宋体" w:cs="宋体"/>
          <w:color w:val="auto"/>
          <w:sz w:val="21"/>
          <w:szCs w:val="21"/>
          <w:lang w:val="en-US" w:eastAsia="zh-CN"/>
        </w:rPr>
        <w:t>电子竞技赛事活动</w:t>
      </w:r>
      <w:r>
        <w:rPr>
          <w:rFonts w:hint="eastAsia" w:ascii="宋体" w:hAnsi="宋体" w:eastAsia="宋体" w:cs="宋体"/>
          <w:color w:val="auto"/>
          <w:sz w:val="21"/>
          <w:szCs w:val="21"/>
        </w:rPr>
        <w:t>的实战能力，在团队实战项目中，贯彻“学教做合一”人才培养模式，真正实现“在做中学、在学中做”，对应专业人才培养，强化专业核心技能的培养，实现学生综合能力和就业竞争力的进一步提高。</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（五）学习评价</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w:t>
      </w:r>
      <w:r>
        <w:rPr>
          <w:rFonts w:hint="eastAsia" w:ascii="宋体" w:hAnsi="宋体" w:eastAsia="宋体" w:cs="宋体"/>
          <w:color w:val="auto"/>
          <w:sz w:val="21"/>
          <w:szCs w:val="21"/>
          <w:lang w:eastAsia="zh-CN"/>
        </w:rPr>
        <w:t>电子竞技</w:t>
      </w:r>
      <w:r>
        <w:rPr>
          <w:rFonts w:hint="eastAsia" w:ascii="宋体" w:hAnsi="宋体" w:eastAsia="宋体" w:cs="宋体"/>
          <w:color w:val="auto"/>
          <w:sz w:val="21"/>
          <w:szCs w:val="21"/>
        </w:rPr>
        <w:t>行业的岗位能力要求相结合”的开放式教学模式，理论与实践一体化。通过讲授、示范、实训三位一体的教学方法，实现教、学、做一体化。</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结合学生实践能力训练,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w:t>
      </w:r>
    </w:p>
    <w:p>
      <w:pPr>
        <w:rPr>
          <w:rFonts w:hint="eastAsia" w:ascii="宋体" w:hAnsi="宋体" w:eastAsia="宋体" w:cs="宋体"/>
          <w:color w:val="auto"/>
          <w:sz w:val="21"/>
          <w:szCs w:val="21"/>
        </w:rPr>
      </w:pPr>
      <w:r>
        <w:rPr>
          <w:rFonts w:hint="eastAsia" w:ascii="宋体" w:hAnsi="宋体" w:eastAsia="宋体" w:cs="宋体"/>
          <w:color w:val="auto"/>
          <w:sz w:val="21"/>
          <w:szCs w:val="21"/>
        </w:rPr>
        <w:t>深入到企事业单位去锻炼和提高自己。</w:t>
      </w:r>
    </w:p>
    <w:p>
      <w:pPr>
        <w:rPr>
          <w:rFonts w:hint="eastAsia" w:ascii="黑体" w:hAnsi="黑体" w:eastAsia="黑体" w:cs="黑体"/>
          <w:color w:val="auto"/>
          <w:sz w:val="28"/>
          <w:szCs w:val="28"/>
        </w:rPr>
      </w:pPr>
      <w:r>
        <w:rPr>
          <w:rFonts w:hint="eastAsia" w:ascii="黑体" w:hAnsi="黑体" w:eastAsia="黑体" w:cs="黑体"/>
          <w:color w:val="auto"/>
          <w:sz w:val="28"/>
          <w:szCs w:val="28"/>
        </w:rPr>
        <w:t>八、质量保证</w:t>
      </w: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（一）机制和制度保障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1、校企合作长效机制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校企合作是进行工作过程系统化课程开发的基础，为此，本专业在充分调研的基础上，根据</w:t>
      </w:r>
      <w:r>
        <w:rPr>
          <w:rFonts w:hint="eastAsia" w:ascii="宋体" w:hAnsi="宋体" w:eastAsia="宋体" w:cs="宋体"/>
          <w:color w:val="auto"/>
          <w:sz w:val="21"/>
          <w:szCs w:val="21"/>
          <w:lang w:val="en-US" w:eastAsia="zh-CN"/>
        </w:rPr>
        <w:t>电子竞技</w:t>
      </w:r>
      <w:r>
        <w:rPr>
          <w:rFonts w:hint="eastAsia" w:ascii="宋体" w:hAnsi="宋体" w:eastAsia="宋体" w:cs="宋体"/>
          <w:color w:val="auto"/>
          <w:sz w:val="21"/>
          <w:szCs w:val="21"/>
        </w:rPr>
        <w:t>岗位的特点，产教融合。校企合作的内容包括教学内容、师资队伍、实训基地建设等多方面的合作。在校企合作过程中，广泛挖掘合作的深度与广度，主要与企业在教学内容、师资队伍、</w:t>
      </w:r>
    </w:p>
    <w:p>
      <w:pPr>
        <w:rPr>
          <w:rFonts w:hint="eastAsia" w:ascii="宋体" w:hAnsi="宋体" w:eastAsia="宋体" w:cs="宋体"/>
          <w:color w:val="auto"/>
          <w:sz w:val="21"/>
          <w:szCs w:val="21"/>
        </w:rPr>
      </w:pPr>
      <w:r>
        <w:rPr>
          <w:rFonts w:hint="eastAsia" w:ascii="宋体" w:hAnsi="宋体" w:eastAsia="宋体" w:cs="宋体"/>
          <w:color w:val="auto"/>
          <w:sz w:val="21"/>
          <w:szCs w:val="21"/>
        </w:rPr>
        <w:t>实训基地建设等方面进行了合作。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2、教学管理保障</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校院二级都制定相应的教学管理规定，设有教学督导组、学生信息员等质量监控人员，对教学管理及教学全过程的各个环节的质量情况进行监督控制与评价，包括专业定位、培养计划和培养目标，对教学条件、实训室教学与使用、教学过程、教学效果、毕业生质量的跟踪等，科学地鉴定了教学质量的全面状况，并提供反馈信息，促进了教学质量进一步提高。</w:t>
      </w:r>
    </w:p>
    <w:p>
      <w:pPr>
        <w:numPr>
          <w:ilvl w:val="0"/>
          <w:numId w:val="2"/>
        </w:numPr>
        <w:rPr>
          <w:rFonts w:hint="eastAsia" w:ascii="宋体" w:hAnsi="宋体" w:eastAsia="宋体" w:cs="宋体"/>
          <w:b/>
          <w:bCs/>
          <w:color w:val="auto"/>
          <w:sz w:val="21"/>
          <w:szCs w:val="21"/>
        </w:rPr>
      </w:pPr>
      <w:r>
        <w:rPr>
          <w:rFonts w:hint="eastAsia" w:ascii="宋体" w:hAnsi="宋体" w:eastAsia="宋体" w:cs="宋体"/>
          <w:b/>
          <w:bCs/>
          <w:color w:val="auto"/>
          <w:sz w:val="21"/>
          <w:szCs w:val="21"/>
        </w:rPr>
        <w:t xml:space="preserve">毕业要求 </w:t>
      </w:r>
    </w:p>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1、学分、学时分配说明</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本专业规定学生修满 </w:t>
      </w:r>
      <w:r>
        <w:rPr>
          <w:rFonts w:hint="eastAsia" w:ascii="宋体" w:hAnsi="宋体" w:eastAsia="宋体" w:cs="宋体"/>
          <w:color w:val="auto"/>
          <w:sz w:val="21"/>
          <w:szCs w:val="21"/>
          <w:lang w:val="en-US" w:eastAsia="zh-CN"/>
        </w:rPr>
        <w:t>146</w:t>
      </w:r>
      <w:r>
        <w:rPr>
          <w:rFonts w:hint="eastAsia" w:ascii="宋体" w:hAnsi="宋体" w:eastAsia="宋体" w:cs="宋体"/>
          <w:color w:val="auto"/>
          <w:sz w:val="21"/>
          <w:szCs w:val="21"/>
        </w:rPr>
        <w:t xml:space="preserve">学分准予毕业。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本专业总学时共计</w:t>
      </w:r>
      <w:r>
        <w:rPr>
          <w:rFonts w:hint="eastAsia" w:ascii="宋体" w:hAnsi="宋体" w:eastAsia="宋体" w:cs="宋体"/>
          <w:color w:val="auto"/>
          <w:sz w:val="21"/>
          <w:szCs w:val="21"/>
          <w:lang w:val="en-US" w:eastAsia="zh-CN"/>
        </w:rPr>
        <w:t>2750</w:t>
      </w:r>
      <w:r>
        <w:rPr>
          <w:rFonts w:hint="eastAsia" w:ascii="宋体" w:hAnsi="宋体" w:eastAsia="宋体" w:cs="宋体"/>
          <w:color w:val="auto"/>
          <w:sz w:val="21"/>
          <w:szCs w:val="21"/>
        </w:rPr>
        <w:t xml:space="preserve"> 课时，其中实践教学课占总课时的 </w:t>
      </w:r>
      <w:r>
        <w:rPr>
          <w:rFonts w:hint="eastAsia" w:ascii="宋体" w:hAnsi="宋体" w:eastAsia="宋体" w:cs="宋体"/>
          <w:color w:val="auto"/>
          <w:sz w:val="21"/>
          <w:szCs w:val="21"/>
          <w:lang w:val="en-US" w:eastAsia="zh-CN"/>
        </w:rPr>
        <w:t>58.65</w:t>
      </w:r>
      <w:r>
        <w:rPr>
          <w:rFonts w:hint="eastAsia" w:ascii="宋体" w:hAnsi="宋体" w:eastAsia="宋体" w:cs="宋体"/>
          <w:color w:val="auto"/>
          <w:sz w:val="21"/>
          <w:szCs w:val="21"/>
        </w:rPr>
        <w:t xml:space="preserve">%，选修课占总课时的 </w:t>
      </w:r>
      <w:r>
        <w:rPr>
          <w:rFonts w:hint="eastAsia" w:ascii="宋体" w:hAnsi="宋体" w:eastAsia="宋体" w:cs="宋体"/>
          <w:color w:val="auto"/>
          <w:sz w:val="21"/>
          <w:szCs w:val="21"/>
          <w:lang w:val="en-US" w:eastAsia="zh-CN"/>
        </w:rPr>
        <w:t>10.47</w:t>
      </w:r>
      <w:r>
        <w:rPr>
          <w:rFonts w:hint="eastAsia" w:ascii="宋体" w:hAnsi="宋体" w:eastAsia="宋体" w:cs="宋体"/>
          <w:color w:val="auto"/>
          <w:sz w:val="21"/>
          <w:szCs w:val="21"/>
        </w:rPr>
        <w:t xml:space="preserve">%。 </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2、获得全国计算机等级一级证书（注：入校前，已取得以上基本能力证书的学生，可提出申请免修相应课程）。</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3、获取的基本能力证书的要求（社会实践或志愿服务经历等）：需要参加为期 2 周的企志愿者服务，鼓励取得由学校组织的相应等级英语水平考试证书。</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、体质健康测试达标：按照《国家学生体质健康标准（2014 年修订）》测试的成绩达不到 50分者按结业或肄业处理。符合免测条件、按规定提交免测申请并获得批准者不受本条毕业资格的限制。</w:t>
      </w:r>
    </w:p>
    <w:p>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、德育合格：学生处规定的德育成绩合格，没有处分，或者处分已经撤销。</w:t>
      </w:r>
    </w:p>
    <w:p>
      <w:pPr>
        <w:rPr>
          <w:rFonts w:hint="eastAsia" w:ascii="宋体" w:hAnsi="宋体" w:eastAsia="宋体" w:cs="宋体"/>
          <w:color w:val="auto"/>
          <w:sz w:val="28"/>
          <w:szCs w:val="28"/>
        </w:rPr>
        <w:sectPr>
          <w:pgSz w:w="11906" w:h="16838"/>
          <w:pgMar w:top="1020" w:right="1474" w:bottom="1020" w:left="1474"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suppressLineNumbers w:val="0"/>
        <w:jc w:val="left"/>
        <w:rPr>
          <w:rFonts w:hint="eastAsia" w:ascii="黑体" w:hAnsi="黑体" w:eastAsia="黑体" w:cs="黑体"/>
          <w:b w:val="0"/>
          <w:bCs/>
          <w:color w:val="auto"/>
          <w:sz w:val="28"/>
          <w:szCs w:val="28"/>
        </w:rPr>
      </w:pPr>
      <w:r>
        <w:rPr>
          <w:rFonts w:hint="eastAsia" w:ascii="黑体" w:hAnsi="黑体" w:eastAsia="黑体" w:cs="黑体"/>
          <w:b w:val="0"/>
          <w:bCs/>
          <w:color w:val="auto"/>
          <w:kern w:val="0"/>
          <w:sz w:val="28"/>
          <w:szCs w:val="28"/>
          <w:lang w:val="en-US" w:eastAsia="zh-CN" w:bidi="ar"/>
        </w:rPr>
        <w:t xml:space="preserve">九、附件：电子竞技运动与管理专业课程设置表（三个部分组成） </w:t>
      </w:r>
    </w:p>
    <w:p>
      <w:pPr>
        <w:keepNext w:val="0"/>
        <w:keepLines w:val="0"/>
        <w:widowControl/>
        <w:suppressLineNumbers w:val="0"/>
        <w:jc w:val="left"/>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（一）电子竞技运动与管理专业课程设置表[不含集中实践环节] 课程类别、课程代码</w:t>
      </w:r>
    </w:p>
    <w:tbl>
      <w:tblPr>
        <w:tblStyle w:val="2"/>
        <w:tblW w:w="4998" w:type="pct"/>
        <w:tblInd w:w="0" w:type="dxa"/>
        <w:shd w:val="clear" w:color="auto" w:fill="auto"/>
        <w:tblLayout w:type="autofit"/>
        <w:tblCellMar>
          <w:top w:w="0" w:type="dxa"/>
          <w:left w:w="0" w:type="dxa"/>
          <w:bottom w:w="0" w:type="dxa"/>
          <w:right w:w="0" w:type="dxa"/>
        </w:tblCellMar>
      </w:tblPr>
      <w:tblGrid>
        <w:gridCol w:w="503"/>
        <w:gridCol w:w="453"/>
        <w:gridCol w:w="361"/>
        <w:gridCol w:w="3624"/>
        <w:gridCol w:w="886"/>
        <w:gridCol w:w="1132"/>
        <w:gridCol w:w="770"/>
        <w:gridCol w:w="1061"/>
        <w:gridCol w:w="770"/>
        <w:gridCol w:w="634"/>
        <w:gridCol w:w="767"/>
        <w:gridCol w:w="770"/>
        <w:gridCol w:w="767"/>
        <w:gridCol w:w="773"/>
        <w:gridCol w:w="768"/>
        <w:gridCol w:w="777"/>
      </w:tblGrid>
      <w:tr>
        <w:tblPrEx>
          <w:tblCellMar>
            <w:top w:w="0" w:type="dxa"/>
            <w:left w:w="0" w:type="dxa"/>
            <w:bottom w:w="0" w:type="dxa"/>
            <w:right w:w="0" w:type="dxa"/>
          </w:tblCellMar>
        </w:tblPrEx>
        <w:trPr>
          <w:trHeight w:val="276" w:hRule="atLeast"/>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课类</w:t>
            </w:r>
          </w:p>
        </w:tc>
        <w:tc>
          <w:tcPr>
            <w:tcW w:w="30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课程名称</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性质</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课程代码</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学分</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学时</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学时分配</w:t>
            </w:r>
          </w:p>
        </w:tc>
        <w:tc>
          <w:tcPr>
            <w:tcW w:w="1638"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学年及学期周学时数</w:t>
            </w: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理论</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教学</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实践</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教学</w:t>
            </w:r>
          </w:p>
        </w:tc>
        <w:tc>
          <w:tcPr>
            <w:tcW w:w="5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p>
        </w:tc>
        <w:tc>
          <w:tcPr>
            <w:tcW w:w="5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p>
        </w:tc>
        <w:tc>
          <w:tcPr>
            <w:tcW w:w="5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5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5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5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w:t>
            </w:r>
          </w:p>
        </w:tc>
      </w:tr>
      <w:tr>
        <w:tblPrEx>
          <w:tblCellMar>
            <w:top w:w="0" w:type="dxa"/>
            <w:left w:w="0" w:type="dxa"/>
            <w:bottom w:w="0" w:type="dxa"/>
            <w:right w:w="0" w:type="dxa"/>
          </w:tblCellMar>
        </w:tblPrEx>
        <w:trPr>
          <w:trHeight w:val="432" w:hRule="atLeast"/>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公共基础课程</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思政课</w:t>
            </w: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56</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思想道德修养与法律基础</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1"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共4学期，每学期3次课</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大学英语</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62</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计算机应用基础</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60+（48）</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56+（48）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大学生健康教育</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16+（16）</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创新创业教育基础</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16+（16）</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大学生就业指导</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(4次)</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经济数学</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应用文写作</w:t>
            </w:r>
          </w:p>
        </w:tc>
        <w:tc>
          <w:tcPr>
            <w:tcW w:w="31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军训</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军事理论课</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32</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劳动教育</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91"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共4学期，每学期4次课</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2"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30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公共选修课（课程超市）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CPR必选</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小计</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41.5</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720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393</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327</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19</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18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专业技能课</w:t>
            </w: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专业基础课</w:t>
            </w: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电子竞技运动概论</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0"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电子竞技生态与文化</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体育经济学</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消费行为学</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游戏数据分析</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摄影摄像基础</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网红经济</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专业核心课</w:t>
            </w: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图形图像处理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视频剪辑与制作</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电子竞技场馆管理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电子竞技市场营销</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电子竞技赛事活动策划</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电子竞技赛事运营与管理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电子竞技解说实务</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新媒体运营</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必/试</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专业拓展课（专业选修课）</w:t>
            </w: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02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连锁经营管理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游戏运营管理</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电子竞技礼仪与职业素养</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b/>
                <w:i w:val="0"/>
                <w:color w:val="FF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电子竞技网络自媒体营销</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必/查</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电子竞技俱乐部运营实务</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等线" w:hAnsi="等线" w:eastAsia="等线" w:cs="等线"/>
                <w:i w:val="0"/>
                <w:color w:val="000000"/>
                <w:sz w:val="22"/>
                <w:szCs w:val="22"/>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6" w:hRule="atLeast"/>
        </w:trPr>
        <w:tc>
          <w:tcPr>
            <w:tcW w:w="1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02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电子竞技职业生涯规划</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选/查</w:t>
            </w:r>
          </w:p>
        </w:tc>
        <w:tc>
          <w:tcPr>
            <w:tcW w:w="394"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6" w:hRule="atLeast"/>
        </w:trPr>
        <w:tc>
          <w:tcPr>
            <w:tcW w:w="2216"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小计</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64</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1016</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744</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272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6</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22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r>
      <w:tr>
        <w:tblPrEx>
          <w:shd w:val="clear" w:color="auto" w:fill="auto"/>
          <w:tblCellMar>
            <w:top w:w="0" w:type="dxa"/>
            <w:left w:w="0" w:type="dxa"/>
            <w:bottom w:w="0" w:type="dxa"/>
            <w:right w:w="0" w:type="dxa"/>
          </w:tblCellMar>
        </w:tblPrEx>
        <w:trPr>
          <w:trHeight w:val="276" w:hRule="atLeast"/>
        </w:trPr>
        <w:tc>
          <w:tcPr>
            <w:tcW w:w="1509" w:type="pct"/>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color w:val="FF0000"/>
                <w:sz w:val="18"/>
                <w:szCs w:val="18"/>
                <w:u w:val="none"/>
              </w:rPr>
            </w:pPr>
            <w:r>
              <w:rPr>
                <w:rFonts w:hint="eastAsia" w:ascii="宋体" w:hAnsi="宋体" w:eastAsia="宋体" w:cs="宋体"/>
                <w:b/>
                <w:i/>
                <w:color w:val="FF0000"/>
                <w:kern w:val="0"/>
                <w:sz w:val="18"/>
                <w:szCs w:val="18"/>
                <w:u w:val="none"/>
                <w:lang w:val="en-US" w:eastAsia="zh-CN" w:bidi="ar"/>
              </w:rPr>
              <w:t>学分/学时/周课时合计</w:t>
            </w:r>
          </w:p>
        </w:tc>
        <w:tc>
          <w:tcPr>
            <w:tcW w:w="31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105.5</w:t>
            </w:r>
          </w:p>
        </w:tc>
        <w:tc>
          <w:tcPr>
            <w:tcW w:w="371"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1736</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1137</w:t>
            </w:r>
          </w:p>
        </w:tc>
        <w:tc>
          <w:tcPr>
            <w:tcW w:w="22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599</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25</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22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22</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18</w:t>
            </w:r>
          </w:p>
        </w:tc>
        <w:tc>
          <w:tcPr>
            <w:tcW w:w="272"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8</w:t>
            </w:r>
          </w:p>
        </w:tc>
        <w:tc>
          <w:tcPr>
            <w:tcW w:w="273"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0</w:t>
            </w:r>
          </w:p>
        </w:tc>
      </w:tr>
    </w:tbl>
    <w:p>
      <w:pPr>
        <w:spacing w:line="420" w:lineRule="exact"/>
        <w:rPr>
          <w:rFonts w:ascii="宋体" w:hAnsi="宋体"/>
          <w:b/>
          <w:szCs w:val="21"/>
        </w:rPr>
      </w:pPr>
      <w:r>
        <w:rPr>
          <w:rFonts w:hint="eastAsia" w:ascii="宋体" w:hAnsi="宋体"/>
          <w:b/>
          <w:szCs w:val="21"/>
        </w:rPr>
        <w:t>备注：1.（）数字是指课外时间实践；</w:t>
      </w:r>
    </w:p>
    <w:p>
      <w:pPr>
        <w:spacing w:line="420" w:lineRule="exact"/>
        <w:ind w:left="420" w:leftChars="200"/>
        <w:rPr>
          <w:rFonts w:ascii="宋体" w:hAnsi="宋体"/>
          <w:b/>
          <w:szCs w:val="21"/>
        </w:rPr>
      </w:pPr>
      <w:r>
        <w:rPr>
          <w:rFonts w:hint="eastAsia" w:ascii="宋体" w:hAnsi="宋体"/>
          <w:b/>
          <w:szCs w:val="21"/>
        </w:rPr>
        <w:t>2.公共选修课程由教务处统一组织开课。</w:t>
      </w:r>
    </w:p>
    <w:p>
      <w:pPr>
        <w:spacing w:line="420" w:lineRule="exact"/>
        <w:ind w:left="420" w:leftChars="200"/>
        <w:rPr>
          <w:rFonts w:hint="eastAsia" w:ascii="宋体" w:hAnsi="宋体" w:eastAsia="宋体" w:cs="宋体"/>
          <w:b/>
          <w:bCs w:val="0"/>
          <w:color w:val="auto"/>
          <w:kern w:val="0"/>
          <w:sz w:val="21"/>
          <w:szCs w:val="21"/>
          <w:lang w:val="en-US" w:eastAsia="zh-CN" w:bidi="ar"/>
        </w:rPr>
      </w:pPr>
      <w:r>
        <w:rPr>
          <w:rFonts w:hint="eastAsia" w:ascii="宋体" w:hAnsi="宋体"/>
          <w:b/>
          <w:szCs w:val="21"/>
        </w:rPr>
        <w:t>3.公共基础课程学时应当不少于总学时的1/4，</w:t>
      </w:r>
      <w:r>
        <w:rPr>
          <w:rFonts w:hint="eastAsia" w:ascii="宋体" w:hAnsi="宋体"/>
          <w:b/>
          <w:color w:val="FF0000"/>
          <w:szCs w:val="21"/>
        </w:rPr>
        <w:t>选修课教学时数占总学时的比例均应当不少于10%。</w:t>
      </w:r>
    </w:p>
    <w:p>
      <w:pPr>
        <w:keepNext w:val="0"/>
        <w:keepLines w:val="0"/>
        <w:widowControl/>
        <w:numPr>
          <w:ilvl w:val="0"/>
          <w:numId w:val="0"/>
        </w:numPr>
        <w:suppressLineNumbers w:val="0"/>
        <w:ind w:leftChars="0"/>
        <w:jc w:val="left"/>
        <w:rPr>
          <w:rFonts w:hint="eastAsia" w:ascii="宋体" w:hAnsi="宋体" w:eastAsia="宋体" w:cs="宋体"/>
          <w:b/>
          <w:bCs w:val="0"/>
          <w:color w:val="auto"/>
          <w:kern w:val="0"/>
          <w:sz w:val="21"/>
          <w:szCs w:val="21"/>
          <w:lang w:val="en-US" w:eastAsia="zh-CN" w:bidi="ar"/>
        </w:rPr>
      </w:pPr>
    </w:p>
    <w:p>
      <w:pPr>
        <w:keepNext w:val="0"/>
        <w:keepLines w:val="0"/>
        <w:widowControl/>
        <w:numPr>
          <w:ilvl w:val="0"/>
          <w:numId w:val="0"/>
        </w:numPr>
        <w:suppressLineNumbers w:val="0"/>
        <w:ind w:leftChars="0"/>
        <w:jc w:val="left"/>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 xml:space="preserve">（二）电子竞技运动与管理专业课程设置表[集中实践环节] </w:t>
      </w:r>
    </w:p>
    <w:tbl>
      <w:tblPr>
        <w:tblStyle w:val="2"/>
        <w:tblW w:w="4998" w:type="pct"/>
        <w:tblInd w:w="0" w:type="dxa"/>
        <w:shd w:val="clear" w:color="auto" w:fill="auto"/>
        <w:tblLayout w:type="autofit"/>
        <w:tblCellMar>
          <w:top w:w="0" w:type="dxa"/>
          <w:left w:w="0" w:type="dxa"/>
          <w:bottom w:w="0" w:type="dxa"/>
          <w:right w:w="0" w:type="dxa"/>
        </w:tblCellMar>
      </w:tblPr>
      <w:tblGrid>
        <w:gridCol w:w="1432"/>
        <w:gridCol w:w="812"/>
        <w:gridCol w:w="1067"/>
        <w:gridCol w:w="605"/>
        <w:gridCol w:w="2096"/>
        <w:gridCol w:w="990"/>
        <w:gridCol w:w="1124"/>
        <w:gridCol w:w="741"/>
        <w:gridCol w:w="990"/>
        <w:gridCol w:w="990"/>
        <w:gridCol w:w="990"/>
        <w:gridCol w:w="991"/>
        <w:gridCol w:w="991"/>
        <w:gridCol w:w="997"/>
      </w:tblGrid>
      <w:tr>
        <w:tblPrEx>
          <w:shd w:val="clear" w:color="auto" w:fill="auto"/>
          <w:tblCellMar>
            <w:top w:w="0" w:type="dxa"/>
            <w:left w:w="0" w:type="dxa"/>
            <w:bottom w:w="0" w:type="dxa"/>
            <w:right w:w="0" w:type="dxa"/>
          </w:tblCellMar>
        </w:tblPrEx>
        <w:trPr>
          <w:trHeight w:val="216" w:hRule="atLeast"/>
        </w:trPr>
        <w:tc>
          <w:tcPr>
            <w:tcW w:w="11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课类</w:t>
            </w:r>
          </w:p>
        </w:tc>
        <w:tc>
          <w:tcPr>
            <w:tcW w:w="2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课程名称</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实践周数</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学时</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学分</w:t>
            </w:r>
          </w:p>
        </w:tc>
        <w:tc>
          <w:tcPr>
            <w:tcW w:w="2006" w:type="pct"/>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学年及学期实践周数</w:t>
            </w: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一</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二</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w:t>
            </w: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40" w:hRule="atLeast"/>
        </w:trPr>
        <w:tc>
          <w:tcPr>
            <w:tcW w:w="111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校内技能专周实训</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1</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电子竞技项目实训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2</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电子竞技赛事运营实训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3</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礼仪实训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4</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市场调研实训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5</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新媒体运营实训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111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6</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多岗位综合实训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毕业综合实践</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顶岗实习</w:t>
            </w: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实习见习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7</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电竞项目运营综合实训</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6"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毕业实习</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8</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顶岗实习</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468</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shd w:val="clear" w:color="auto" w:fill="auto"/>
          <w:tblCellMar>
            <w:top w:w="0" w:type="dxa"/>
            <w:left w:w="0" w:type="dxa"/>
            <w:bottom w:w="0" w:type="dxa"/>
            <w:right w:w="0" w:type="dxa"/>
          </w:tblCellMar>
        </w:tblPrEx>
        <w:trPr>
          <w:trHeight w:val="216"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6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keepNext w:val="0"/>
              <w:keepLines w:val="0"/>
              <w:widowControl/>
              <w:suppressLineNumbers w:val="0"/>
              <w:jc w:val="center"/>
              <w:textAlignment w:val="bottom"/>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毕业设计（论文）</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9</w:t>
            </w:r>
          </w:p>
        </w:tc>
        <w:tc>
          <w:tcPr>
            <w:tcW w:w="70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毕业论文</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shd w:val="clear" w:color="auto" w:fill="auto"/>
          <w:tblCellMar>
            <w:top w:w="0" w:type="dxa"/>
            <w:left w:w="0" w:type="dxa"/>
            <w:bottom w:w="0" w:type="dxa"/>
            <w:right w:w="0" w:type="dxa"/>
          </w:tblCellMar>
        </w:tblPrEx>
        <w:trPr>
          <w:trHeight w:val="216" w:hRule="atLeast"/>
        </w:trPr>
        <w:tc>
          <w:tcPr>
            <w:tcW w:w="2028"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color w:val="FF0000"/>
                <w:sz w:val="18"/>
                <w:szCs w:val="18"/>
                <w:u w:val="none"/>
              </w:rPr>
            </w:pPr>
            <w:r>
              <w:rPr>
                <w:rFonts w:hint="eastAsia" w:ascii="宋体" w:hAnsi="宋体" w:eastAsia="宋体" w:cs="宋体"/>
                <w:b/>
                <w:i/>
                <w:color w:val="FF0000"/>
                <w:kern w:val="0"/>
                <w:sz w:val="18"/>
                <w:szCs w:val="18"/>
                <w:u w:val="none"/>
                <w:lang w:val="en-US" w:eastAsia="zh-CN" w:bidi="ar"/>
              </w:rPr>
              <w:t>学时/学分/实践周数合计</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39 </w:t>
            </w:r>
          </w:p>
        </w:tc>
        <w:tc>
          <w:tcPr>
            <w:tcW w:w="3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1014 </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40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1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2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6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rPr>
            </w:pPr>
            <w:r>
              <w:rPr>
                <w:rFonts w:hint="eastAsia" w:ascii="宋体" w:hAnsi="宋体" w:eastAsia="宋体" w:cs="宋体"/>
                <w:b/>
                <w:i w:val="0"/>
                <w:color w:val="FF0000"/>
                <w:kern w:val="0"/>
                <w:sz w:val="18"/>
                <w:szCs w:val="18"/>
                <w:u w:val="none"/>
                <w:lang w:val="en-US" w:eastAsia="zh-CN" w:bidi="ar"/>
              </w:rPr>
              <w:t xml:space="preserve">18 </w:t>
            </w:r>
          </w:p>
        </w:tc>
      </w:tr>
    </w:tbl>
    <w:p>
      <w:pPr>
        <w:tabs>
          <w:tab w:val="left" w:pos="2625"/>
        </w:tabs>
        <w:rPr>
          <w:rFonts w:ascii="宋体" w:hAnsi="宋体"/>
        </w:rPr>
      </w:pPr>
      <w:r>
        <w:rPr>
          <w:rFonts w:hint="eastAsia" w:ascii="宋体" w:hAnsi="宋体"/>
          <w:szCs w:val="21"/>
        </w:rPr>
        <w:t>备注：若为</w:t>
      </w:r>
      <w:r>
        <w:rPr>
          <w:rFonts w:hint="eastAsia" w:ascii="宋体" w:hAnsi="宋体"/>
        </w:rPr>
        <w:t>打散实训可在数字后加“*”，如</w:t>
      </w:r>
      <w:r>
        <w:rPr>
          <w:rFonts w:hint="eastAsia" w:ascii="宋体" w:hAnsi="宋体"/>
          <w:szCs w:val="21"/>
        </w:rPr>
        <w:t>2</w:t>
      </w:r>
      <w:r>
        <w:rPr>
          <w:rFonts w:hint="eastAsia" w:ascii="宋体" w:hAnsi="宋体"/>
          <w:szCs w:val="21"/>
          <w:vertAlign w:val="superscript"/>
        </w:rPr>
        <w:t>*</w:t>
      </w:r>
      <w:r>
        <w:rPr>
          <w:rFonts w:hint="eastAsia" w:ascii="宋体" w:hAnsi="宋体"/>
        </w:rPr>
        <w:t>表示每周为两课时实训课，不带符号的表示实践周数。</w:t>
      </w:r>
    </w:p>
    <w:p>
      <w:pPr>
        <w:keepNext w:val="0"/>
        <w:keepLines w:val="0"/>
        <w:widowControl/>
        <w:numPr>
          <w:ilvl w:val="0"/>
          <w:numId w:val="0"/>
        </w:numPr>
        <w:suppressLineNumbers w:val="0"/>
        <w:ind w:leftChars="0"/>
        <w:jc w:val="left"/>
        <w:rPr>
          <w:rFonts w:hint="eastAsia" w:ascii="宋体" w:hAnsi="宋体" w:eastAsia="宋体" w:cs="宋体"/>
          <w:b/>
          <w:bCs w:val="0"/>
          <w:color w:val="auto"/>
          <w:kern w:val="0"/>
          <w:sz w:val="21"/>
          <w:szCs w:val="21"/>
          <w:lang w:val="en-US" w:eastAsia="zh-CN" w:bidi="ar"/>
        </w:rPr>
      </w:pPr>
    </w:p>
    <w:p>
      <w:pPr>
        <w:keepNext w:val="0"/>
        <w:keepLines w:val="0"/>
        <w:widowControl/>
        <w:numPr>
          <w:ilvl w:val="0"/>
          <w:numId w:val="2"/>
        </w:numPr>
        <w:suppressLineNumbers w:val="0"/>
        <w:ind w:left="0" w:leftChars="0" w:firstLine="0" w:firstLineChars="0"/>
        <w:jc w:val="left"/>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 xml:space="preserve">电子竞技运动与管理集中实践环节课程教学主要内容与要求 </w:t>
      </w:r>
    </w:p>
    <w:tbl>
      <w:tblPr>
        <w:tblStyle w:val="2"/>
        <w:tblW w:w="4985"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0" w:type="dxa"/>
          <w:bottom w:w="0" w:type="dxa"/>
          <w:right w:w="0" w:type="dxa"/>
        </w:tblCellMar>
      </w:tblPr>
      <w:tblGrid>
        <w:gridCol w:w="544"/>
        <w:gridCol w:w="1878"/>
        <w:gridCol w:w="1893"/>
        <w:gridCol w:w="4108"/>
        <w:gridCol w:w="1668"/>
        <w:gridCol w:w="1390"/>
        <w:gridCol w:w="1523"/>
        <w:gridCol w:w="17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7"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序号</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课程名称</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纲要　</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内  容  与  要  求</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学期</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学时</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地点</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考  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440"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1</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电子竞技项目实训</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数据分析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战术分析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团队配合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专业术语</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每学期针对当前核心电竞游戏项目实操练习，通过实战，复盘，分析，解读等真正让学生了解电竞比赛项目的细节，掌握解说及赛事运营必须掌握的游戏内核。</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1-2-3-4</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实训室</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校内评价</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总结评价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540"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2</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电子竞技赛事运营实训</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前期策划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活动招商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现场秩序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结案曝光</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由高年级学生带新生进行一对一组队，完成真正的电竞赛事活动完整过程比赛，过程中根据学生的不同表现</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1-2-3-4</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208</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实训室</w:t>
            </w:r>
          </w:p>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海选点</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决赛点</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过程</w:t>
            </w:r>
            <w:r>
              <w:rPr>
                <w:rFonts w:hint="eastAsia" w:ascii="宋体" w:hAnsi="宋体" w:cs="宋体"/>
                <w:i w:val="0"/>
                <w:color w:val="auto"/>
                <w:kern w:val="0"/>
                <w:sz w:val="18"/>
                <w:szCs w:val="18"/>
                <w:u w:val="none"/>
                <w:lang w:val="en-US" w:eastAsia="zh-CN" w:bidi="ar"/>
              </w:rPr>
              <w:t>考核</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540"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3</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市场调研实训</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环境调研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需求调研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供给调研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营销调研</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分组对地方性电竞企业进行调研，过程中根据学生的不同表现</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过程</w:t>
            </w:r>
            <w:r>
              <w:rPr>
                <w:rFonts w:hint="eastAsia" w:ascii="宋体" w:hAnsi="宋体" w:cs="宋体"/>
                <w:i w:val="0"/>
                <w:color w:val="auto"/>
                <w:kern w:val="0"/>
                <w:sz w:val="18"/>
                <w:szCs w:val="18"/>
                <w:u w:val="none"/>
                <w:lang w:val="en-US" w:eastAsia="zh-CN" w:bidi="ar"/>
              </w:rPr>
              <w:t>考核</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总结评价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540"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4</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电子竞技场馆经营实训</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岗位模拟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突发事件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活动现场</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根据实体电竞馆运营情况，分设不同岗位不同情况对学生进行实操模拟，重点考核学生在过程中对岗位的理解和处理方式，考核学生的应变和沟通能力。</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实训室</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过程</w:t>
            </w:r>
            <w:r>
              <w:rPr>
                <w:rFonts w:hint="eastAsia" w:ascii="宋体" w:hAnsi="宋体" w:cs="宋体"/>
                <w:i w:val="0"/>
                <w:color w:val="auto"/>
                <w:kern w:val="0"/>
                <w:sz w:val="18"/>
                <w:szCs w:val="18"/>
                <w:u w:val="none"/>
                <w:lang w:val="en-US" w:eastAsia="zh-CN" w:bidi="ar"/>
              </w:rPr>
              <w:t>考核</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780"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5</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多岗位综合实训</w:t>
            </w:r>
          </w:p>
        </w:tc>
        <w:tc>
          <w:tcPr>
            <w:tcW w:w="64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场馆运营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赛事策划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主持解说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赛事运营</w:t>
            </w: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通过一次完整的不同公司，不同板块针对同一赛事让参与同学在仿真企业环境中扮演不同角色，体验不同岗位职能进行工作的实践训练，核心锻炼学生的配合和沟通能力。</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实训室</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校内形成性评价</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总结性评价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47" w:hRule="atLeast"/>
        </w:trPr>
        <w:tc>
          <w:tcPr>
            <w:tcW w:w="18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6</w:t>
            </w:r>
          </w:p>
        </w:tc>
        <w:tc>
          <w:tcPr>
            <w:tcW w:w="63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顶岗实习</w:t>
            </w:r>
          </w:p>
        </w:tc>
        <w:tc>
          <w:tcPr>
            <w:tcW w:w="640" w:type="pct"/>
            <w:tcBorders>
              <w:tl2br w:val="nil"/>
              <w:tr2bl w:val="nil"/>
            </w:tcBorders>
            <w:shd w:val="clear" w:color="auto" w:fill="auto"/>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1389"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参与一线企业从事具体岗位操作</w:t>
            </w:r>
          </w:p>
        </w:tc>
        <w:tc>
          <w:tcPr>
            <w:tcW w:w="564"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47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468</w:t>
            </w:r>
          </w:p>
        </w:tc>
        <w:tc>
          <w:tcPr>
            <w:tcW w:w="515"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电竞公司</w:t>
            </w:r>
          </w:p>
        </w:tc>
        <w:tc>
          <w:tcPr>
            <w:tcW w:w="600" w:type="pct"/>
            <w:tcBorders>
              <w:tl2br w:val="nil"/>
              <w:tr2bl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校内校外考核相结合</w:t>
            </w:r>
          </w:p>
        </w:tc>
      </w:tr>
    </w:tbl>
    <w:p>
      <w:pPr>
        <w:keepNext w:val="0"/>
        <w:keepLines w:val="0"/>
        <w:widowControl/>
        <w:suppressLineNumbers w:val="0"/>
        <w:jc w:val="left"/>
        <w:rPr>
          <w:rFonts w:hint="eastAsia" w:ascii="宋体" w:hAnsi="宋体" w:eastAsia="宋体" w:cs="宋体"/>
          <w:b/>
          <w:bCs w:val="0"/>
          <w:color w:val="auto"/>
          <w:kern w:val="0"/>
          <w:sz w:val="21"/>
          <w:szCs w:val="21"/>
          <w:lang w:val="en-US" w:eastAsia="zh-CN" w:bidi="ar"/>
        </w:rPr>
      </w:pPr>
      <w:r>
        <w:rPr>
          <w:rFonts w:hint="eastAsia" w:ascii="宋体" w:hAnsi="宋体" w:eastAsia="宋体" w:cs="宋体"/>
          <w:b/>
          <w:bCs w:val="0"/>
          <w:color w:val="auto"/>
          <w:kern w:val="0"/>
          <w:sz w:val="21"/>
          <w:szCs w:val="21"/>
          <w:lang w:val="en-US" w:eastAsia="zh-CN" w:bidi="ar"/>
        </w:rPr>
        <w:t xml:space="preserve">（四）各类课程学时数分配表 </w:t>
      </w:r>
    </w:p>
    <w:tbl>
      <w:tblPr>
        <w:tblStyle w:val="2"/>
        <w:tblW w:w="4999" w:type="pct"/>
        <w:tblInd w:w="0" w:type="dxa"/>
        <w:shd w:val="clear" w:color="auto" w:fill="auto"/>
        <w:tblLayout w:type="autofit"/>
        <w:tblCellMar>
          <w:top w:w="0" w:type="dxa"/>
          <w:left w:w="0" w:type="dxa"/>
          <w:bottom w:w="0" w:type="dxa"/>
          <w:right w:w="0" w:type="dxa"/>
        </w:tblCellMar>
      </w:tblPr>
      <w:tblGrid>
        <w:gridCol w:w="4385"/>
        <w:gridCol w:w="1592"/>
        <w:gridCol w:w="1592"/>
        <w:gridCol w:w="2004"/>
        <w:gridCol w:w="1592"/>
        <w:gridCol w:w="3654"/>
      </w:tblGrid>
      <w:tr>
        <w:tblPrEx>
          <w:tblCellMar>
            <w:top w:w="0" w:type="dxa"/>
            <w:left w:w="0" w:type="dxa"/>
            <w:bottom w:w="0" w:type="dxa"/>
            <w:right w:w="0" w:type="dxa"/>
          </w:tblCellMar>
        </w:tblPrEx>
        <w:trPr>
          <w:trHeight w:val="258" w:hRule="atLeast"/>
        </w:trPr>
        <w:tc>
          <w:tcPr>
            <w:tcW w:w="1479"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课程类别</w:t>
            </w:r>
          </w:p>
        </w:tc>
        <w:tc>
          <w:tcPr>
            <w:tcW w:w="1750" w:type="pct"/>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学时数</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学分数</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学时数比例</w:t>
            </w:r>
          </w:p>
        </w:tc>
      </w:tr>
      <w:tr>
        <w:tblPrEx>
          <w:shd w:val="clear" w:color="auto" w:fill="auto"/>
          <w:tblCellMar>
            <w:top w:w="0" w:type="dxa"/>
            <w:left w:w="0" w:type="dxa"/>
            <w:bottom w:w="0" w:type="dxa"/>
            <w:right w:w="0" w:type="dxa"/>
          </w:tblCellMar>
        </w:tblPrEx>
        <w:trPr>
          <w:trHeight w:val="258" w:hRule="atLeast"/>
        </w:trPr>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总学时</w:t>
            </w:r>
          </w:p>
        </w:tc>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理论学时</w:t>
            </w:r>
          </w:p>
        </w:tc>
        <w:tc>
          <w:tcPr>
            <w:tcW w:w="676"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实践学时</w:t>
            </w: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FF0000"/>
                <w:sz w:val="18"/>
                <w:szCs w:val="18"/>
                <w:u w:val="none"/>
              </w:rPr>
            </w:pPr>
          </w:p>
        </w:tc>
      </w:tr>
      <w:tr>
        <w:tblPrEx>
          <w:shd w:val="clear" w:color="auto" w:fill="auto"/>
          <w:tblCellMar>
            <w:top w:w="0" w:type="dxa"/>
            <w:left w:w="0" w:type="dxa"/>
            <w:bottom w:w="0" w:type="dxa"/>
            <w:right w:w="0" w:type="dxa"/>
          </w:tblCellMar>
        </w:tblPrEx>
        <w:trPr>
          <w:trHeight w:val="288" w:hRule="atLeast"/>
        </w:trPr>
        <w:tc>
          <w:tcPr>
            <w:tcW w:w="14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6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黑体" w:hAnsi="宋体" w:eastAsia="黑体" w:cs="黑体"/>
                <w:i w:val="0"/>
                <w:color w:val="FF0000"/>
                <w:sz w:val="18"/>
                <w:szCs w:val="18"/>
                <w:u w:val="none"/>
              </w:rPr>
            </w:pP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公共基础课</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393</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41.5</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26.18%</w:t>
            </w: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专业基础课</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12.58%</w:t>
            </w: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专业核心课</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16.22%</w:t>
            </w: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专业拓展课</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8.15%</w:t>
            </w: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集中实践</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1014</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36.87%</w:t>
            </w:r>
          </w:p>
        </w:tc>
      </w:tr>
      <w:tr>
        <w:tblPrEx>
          <w:shd w:val="clear" w:color="auto" w:fill="auto"/>
          <w:tblCellMar>
            <w:top w:w="0" w:type="dxa"/>
            <w:left w:w="0" w:type="dxa"/>
            <w:bottom w:w="0" w:type="dxa"/>
            <w:right w:w="0" w:type="dxa"/>
          </w:tblCellMar>
        </w:tblPrEx>
        <w:trPr>
          <w:trHeight w:val="228" w:hRule="atLeast"/>
        </w:trPr>
        <w:tc>
          <w:tcPr>
            <w:tcW w:w="147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总 计</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2750</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1137</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1613</w:t>
            </w:r>
          </w:p>
        </w:tc>
        <w:tc>
          <w:tcPr>
            <w:tcW w:w="5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144.5</w:t>
            </w:r>
          </w:p>
        </w:tc>
        <w:tc>
          <w:tcPr>
            <w:tcW w:w="12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FF0000"/>
                <w:sz w:val="18"/>
                <w:szCs w:val="18"/>
                <w:u w:val="none"/>
              </w:rPr>
            </w:pPr>
            <w:r>
              <w:rPr>
                <w:rFonts w:hint="eastAsia" w:ascii="黑体" w:hAnsi="宋体" w:eastAsia="黑体" w:cs="黑体"/>
                <w:i w:val="0"/>
                <w:color w:val="FF0000"/>
                <w:kern w:val="0"/>
                <w:sz w:val="18"/>
                <w:szCs w:val="18"/>
                <w:u w:val="none"/>
                <w:lang w:val="en-US" w:eastAsia="zh-CN" w:bidi="ar"/>
              </w:rPr>
              <w:t>100.00%</w:t>
            </w:r>
          </w:p>
        </w:tc>
      </w:tr>
    </w:tbl>
    <w:p>
      <w:pPr>
        <w:keepNext w:val="0"/>
        <w:keepLines w:val="0"/>
        <w:widowControl/>
        <w:suppressLineNumbers w:val="0"/>
        <w:jc w:val="left"/>
        <w:rPr>
          <w:rFonts w:hint="default" w:ascii="宋体" w:hAnsi="宋体" w:eastAsia="宋体" w:cs="宋体"/>
          <w:color w:val="auto"/>
          <w:sz w:val="28"/>
          <w:szCs w:val="28"/>
          <w:lang w:val="en-US"/>
        </w:rPr>
      </w:pPr>
      <w:bookmarkStart w:id="0" w:name="_GoBack"/>
      <w:bookmarkEnd w:id="0"/>
    </w:p>
    <w:sectPr>
      <w:pgSz w:w="16838" w:h="11906" w:orient="landscape"/>
      <w:pgMar w:top="1474" w:right="1020" w:bottom="1474" w:left="10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B3396"/>
    <w:multiLevelType w:val="singleLevel"/>
    <w:tmpl w:val="848B3396"/>
    <w:lvl w:ilvl="0" w:tentative="0">
      <w:start w:val="2"/>
      <w:numFmt w:val="chineseCounting"/>
      <w:suff w:val="nothing"/>
      <w:lvlText w:val="（%1）"/>
      <w:lvlJc w:val="left"/>
      <w:rPr>
        <w:rFonts w:hint="eastAsia"/>
      </w:rPr>
    </w:lvl>
  </w:abstractNum>
  <w:abstractNum w:abstractNumId="1">
    <w:nsid w:val="33AFC8CF"/>
    <w:multiLevelType w:val="singleLevel"/>
    <w:tmpl w:val="33AFC8C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222A9"/>
    <w:rsid w:val="11D14367"/>
    <w:rsid w:val="1AA67923"/>
    <w:rsid w:val="22404E2B"/>
    <w:rsid w:val="27591B0B"/>
    <w:rsid w:val="3562672C"/>
    <w:rsid w:val="38671B40"/>
    <w:rsid w:val="54F47945"/>
    <w:rsid w:val="7612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18"/>
      <w:szCs w:val="18"/>
      <w:u w:val="none"/>
    </w:rPr>
  </w:style>
  <w:style w:type="paragraph" w:customStyle="1" w:styleId="5">
    <w:name w:val="样式1"/>
    <w:basedOn w:val="1"/>
    <w:qFormat/>
    <w:uiPriority w:val="99"/>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2020-07-03T15:52:00Z</dcterms:created>
  <dc:creator>hongyongchen</dc:creator>
  <cp:lastModifiedBy>陈红勇</cp:lastModifiedBy>
  <dcterms:modified xsi:type="dcterms:W3CDTF">2020-07-22T07:19:37Z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